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sz w:val="45"/>
          <w:szCs w:val="45"/>
          <w:b w:val="1"/>
          <w:bCs w:val="1"/>
        </w:rPr>
        <w:t xml:space="preserve">Приказ Федеральной службы безопасности Российской Федерации от 19.06.2019 № 281 "Об утверждении Порядка, технических условий установки </w:t>
      </w:r>
      <w:br/>
      <w:r>
        <w:rPr>
          <w:sz w:val="45"/>
          <w:szCs w:val="45"/>
          <w:b w:val="1"/>
          <w:bCs w:val="1"/>
        </w:rPr>
        <w:t xml:space="preserve">и эксплуатации средств, предназначенных для обнаружения, предупреждения и ликвидации последствий компьютерных атак </w:t>
      </w:r>
      <w:br/>
      <w:r>
        <w:rPr>
          <w:sz w:val="45"/>
          <w:szCs w:val="45"/>
          <w:b w:val="1"/>
          <w:bCs w:val="1"/>
        </w:rPr>
        <w:t xml:space="preserve">и реагирования на компьютерные инциденты, за исключением средств, предназначенных для поиска признаков компьютерных атак </w:t>
      </w:r>
      <w:br/>
      <w:r>
        <w:rPr>
          <w:sz w:val="45"/>
          <w:szCs w:val="45"/>
          <w:b w:val="1"/>
          <w:bCs w:val="1"/>
        </w:rPr>
        <w:t xml:space="preserve">в сетях электросвязи, используемых для организации взаимодействия объектов критической информационной инфраструктуры Российской Федерации</w:t>
      </w:r>
      <w:br/>
      <w:r>
        <w:rPr>
          <w:sz w:val="45"/>
          <w:szCs w:val="45"/>
          <w:b w:val="1"/>
          <w:bCs w:val="1"/>
        </w:rPr>
        <w:t xml:space="preserve">"</w:t>
      </w:r>
    </w:p>
    <w:p/>
    <w:p>
      <w:pPr>
        <w:jc w:val="both"/>
        <w:spacing w:before="0" w:after="0" w:line="240" w:lineRule="exact"/>
      </w:pPr>
      <w:r>
        <w:rPr/>
        <w:t xml:space="preserve">В	соответствии с пунктом 10 части 4 статьи б Федерального закона от 26 июля 2017 г. № 187-ФЗ «O безопасности критической информационной инфраструктуры Российской Федерации»</w:t>
      </w: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/>
      <w:r>
        <w:rPr>
          <w:b w:val="1"/>
          <w:bCs w:val="1"/>
        </w:rPr>
        <w:t xml:space="preserve">П Р И К А З Ы В А Ю</w:t>
      </w:r>
    </w:p>
    <w:p/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jc w:val="both"/>
        <w:spacing w:before="0" w:after="0" w:line="240" w:lineRule="exact"/>
      </w:pPr>
      <w:r>
        <w:rPr/>
        <w:t xml:space="preserve">утвердить прилагаемые Порядок, технические условия установки и эксплуатации средств, предназначенных для обнаружения, предупреждения и ликвидации последствий компьютерных атак и реагирования </w:t>
      </w:r>
      <w:br/>
      <w:r>
        <w:rPr/>
        <w:t xml:space="preserve">на компьютерные инциденты, за исключением средств, предназначенных </w:t>
      </w:r>
      <w:br/>
      <w:r>
        <w:rPr/>
        <w:t xml:space="preserve">для поиска признаков компьютерных атак в сетях электросвязи, используемых для организации взаимодействия объектов критической информационной инфраструктуры Российской Федерации.</w:t>
      </w:r>
      <w:br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jc w:val="start"/>
      </w:pPr>
      <w:r>
        <w:rPr/>
        <w:t xml:space="preserve">Директор</w:t>
      </w:r>
    </w:p>
    <w:p>
      <w:pPr/>
      <w:r>
        <w:rPr/>
        <w:t xml:space="preserve"> </w:t>
      </w:r>
    </w:p>
    <w:p>
      <w:pPr>
        <w:jc w:val="end"/>
      </w:pPr>
      <w:r>
        <w:rPr/>
        <w:t xml:space="preserve">А.Бортников</w:t>
      </w:r>
    </w:p>
    <w:p/>
    <w:p>
      <w:pPr>
        <w:spacing w:before="0" w:after="0" w:line="240" w:lineRule="exact"/>
      </w:pPr>
    </w:p>
    <w:p/>
    <w:p/>
    <w:p/>
    <w:p/>
    <w:p>
      <w:pPr>
        <w:spacing w:before="0" w:after="0" w:line="240" w:lineRule="exact"/>
      </w:pPr>
      <w:r>
        <w:rPr/>
        <w:t xml:space="preserve">Приложение</w:t>
      </w:r>
    </w:p>
    <w:p>
      <w:pPr>
        <w:spacing w:before="0" w:after="0" w:line="240" w:lineRule="exact"/>
      </w:pPr>
      <w:r>
        <w:rPr/>
        <w:t xml:space="preserve">к </w:t>
      </w:r>
      <w:r>
        <w:rPr/>
        <w:t xml:space="preserve">приказу</w:t>
      </w:r>
      <w:r>
        <w:rPr/>
        <w:t xml:space="preserve"> ФСБ РФ</w:t>
      </w:r>
    </w:p>
    <w:p>
      <w:pPr>
        <w:spacing w:before="0" w:after="0" w:line="240" w:lineRule="exact"/>
      </w:pPr>
      <w:r>
        <w:rPr/>
        <w:t xml:space="preserve">от 19 июня 2019 г. N 281</w:t>
      </w:r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Порядок, технические условия установки и эксплуатации средств, предназначенных для обнаружения, предупреждения и ликвидации последствий компьютерных атак и реагирования на компьютерные инциденты, за исключением средств, предназначенных для поиска признако</w:t>
      </w:r>
    </w:p>
    <w:p/>
    <w:p>
      <w:pPr>
        <w:jc w:val="both"/>
        <w:spacing w:before="0" w:after="0" w:line="240" w:lineRule="exact"/>
      </w:pPr>
      <w:r>
        <w:rPr/>
        <w:t xml:space="preserve">1. Настоящие Порядок и технические условия регулируют установку </w:t>
      </w:r>
      <w:br/>
      <w:r>
        <w:rPr/>
        <w:t xml:space="preserve">и эксплуатацию средств, предназначенных для обнаружения, предупреждения и ликвидации последствий компьютерных атак и реагирования </w:t>
      </w:r>
      <w:br/>
      <w:r>
        <w:rPr/>
        <w:t xml:space="preserve">на компьютерные инциденты, за исключением средств, предназначенных </w:t>
      </w:r>
      <w:br/>
      <w:r>
        <w:rPr/>
        <w:t xml:space="preserve">для поиска признаков компьютерных атак в сетях электросвязи, используемых для организации взаимодействия объектов критической информационной инфраструктуры Российской Федерации (далее – средства, критическая информационная инфраструктура соответственно), в том числе в банковской сфере и в иных сферах финансового рынка.</w:t>
      </w:r>
      <w:br/>
    </w:p>
    <w:p>
      <w:pPr>
        <w:jc w:val="both"/>
        <w:spacing w:before="0" w:after="0" w:line="240" w:lineRule="exact"/>
      </w:pPr>
      <w:r>
        <w:rPr/>
        <w:t xml:space="preserve">2. Для согласования установки средств субъект критической информационной инфраструктуры не позднее чем за 45 календарных дней </w:t>
      </w:r>
      <w:br/>
      <w:r>
        <w:rPr/>
        <w:t xml:space="preserve">до даты планируемой установки направляет в ФСБ России структурно-функциональную схему подключения средств к информационным системам, информационно-телекоммуникационным сетям, автоматизированным системам управления, а также сведения:</w:t>
      </w:r>
      <w:br/>
      <w:r>
        <w:rPr/>
        <w:t xml:space="preserve">об устанавливаемых средствах (наименование, предназначение, </w:t>
      </w:r>
      <w:br/>
      <w:r>
        <w:rPr/>
        <w:t xml:space="preserve">версия (при наличии);</w:t>
      </w:r>
      <w:br/>
      <w:r>
        <w:rPr/>
        <w:t xml:space="preserve">о местах установки средств (место нахождения </w:t>
      </w:r>
      <w:br/>
      <w:r>
        <w:rPr/>
        <w:t xml:space="preserve">или географическое местоположение зданий или сооружений, в которых планируется установка средств);</w:t>
      </w:r>
      <w:br/>
      <w:r>
        <w:rPr/>
        <w:t xml:space="preserve">о лицах, ответственных за эксплуатацию средств (фамилия, имя, отчество (при наличии), должность, телефонные номера);</w:t>
      </w:r>
      <w:br/>
      <w:r>
        <w:rPr/>
        <w:t xml:space="preserve">о контролируемых средствами объектах критической информационной инфраструктуры (наименования информационных систем, информационно-телекоммуникационных сетей, автоматизированных систем управления).</w:t>
      </w:r>
      <w:br/>
    </w:p>
    <w:p>
      <w:pPr>
        <w:jc w:val="both"/>
        <w:spacing w:before="0" w:after="0" w:line="240" w:lineRule="exact"/>
      </w:pPr>
      <w:r>
        <w:rPr/>
        <w:t xml:space="preserve">3. ФСБ России в срок до 45 календарных дней с даты поступления рассматривает представленные сведения на предмет отсутствия или наличия оснований для отказа в согласовании установки средств.</w:t>
      </w:r>
      <w:br/>
      <w:r>
        <w:rPr/>
        <w:t xml:space="preserve">По результатам рассмотрения представленных сведений ФСБ России подготавливает и направляет субъекту критической информационной инфраструктуры письмо о согласовании или об отказе в согласовании установки средств.</w:t>
      </w:r>
      <w:br/>
    </w:p>
    <w:p>
      <w:pPr>
        <w:jc w:val="both"/>
        <w:spacing w:before="0" w:after="0" w:line="240" w:lineRule="exact"/>
      </w:pPr>
      <w:r>
        <w:rPr/>
        <w:t xml:space="preserve">4. Субъект критической информационной инфраструктуры, который осуществляет деятельность в банковской сфере и в иных сферах финансового рынка, должен направить информацию, указанную в пункте 2 настоящих Порядка и технических условий, в Банк России в течение 5 календарных дней с даты получения письма ФСБ России о согласовании.</w:t>
      </w:r>
      <w:br/>
    </w:p>
    <w:p>
      <w:pPr>
        <w:jc w:val="both"/>
        <w:spacing w:before="0" w:after="0" w:line="240" w:lineRule="exact"/>
      </w:pPr>
      <w:r>
        <w:rPr/>
        <w:t xml:space="preserve">5. Изменение структурно-функциональной схемы подключения средств к информационным системам, информационно-телекоммуникационным сетям, автоматизированным системам управления, состава установленных средств и (или) мест их установки осуществляется субъектом критической информационной инфраструктуры по согласованию с ФСБ России в порядке, предусмотренном пунктом 2 настоящих Порядка и технических условий.</w:t>
      </w:r>
      <w:br/>
      <w:r>
        <w:rPr/>
        <w:t xml:space="preserve">При изменении иной информации, указанной в пункте 2 настоящих Порядка и технических условий, субъект критической информационной инфраструктуры информирует ФСБ России в течение 5 календарных дней </w:t>
      </w:r>
      <w:br/>
      <w:r>
        <w:rPr/>
        <w:t xml:space="preserve">со дня ее изменения.</w:t>
      </w:r>
      <w:br/>
      <w:r>
        <w:rPr/>
        <w:t xml:space="preserve">При изменении информации, указанной в пункте 2 настоящих Порядка и технических условий, субъект критической информационной инфраструктуры, который осуществляет деятельность в банковской сфере </w:t>
      </w:r>
      <w:br/>
      <w:r>
        <w:rPr/>
        <w:t xml:space="preserve">и в иных сферах финансового рынка, информирует Банк России в течение 5 календарных дней со дня ее изменения.</w:t>
      </w:r>
      <w:br/>
    </w:p>
    <w:p>
      <w:pPr>
        <w:jc w:val="both"/>
        <w:spacing w:before="0" w:after="0" w:line="240" w:lineRule="exact"/>
      </w:pPr>
      <w:r>
        <w:rPr/>
        <w:t xml:space="preserve">6. Установка, настройка, проверка работоспособности </w:t>
      </w:r>
      <w:br/>
      <w:r>
        <w:rPr/>
        <w:t xml:space="preserve">и подключение средств к информационным системам, информационно-телекоммуникационным сетям, автоматизированным системам управления проводятся субъектом критической информационной инфраструктуры </w:t>
      </w:r>
      <w:br/>
      <w:r>
        <w:rPr/>
        <w:t xml:space="preserve">и (или) привлекаемой в соответствии с законодательством </w:t>
      </w:r>
      <w:br/>
      <w:r>
        <w:rPr/>
        <w:t xml:space="preserve">Российской Федерации субъектом критической информационной инфраструктуры организацией, осуществляющей лицензируемую деятельность в области защиты информации, и осуществляются </w:t>
      </w:r>
      <w:br/>
      <w:r>
        <w:rPr/>
        <w:t xml:space="preserve">в соответствии с эксплуатационной документацией на данные средства. </w:t>
      </w:r>
      <w:br/>
      <w:r>
        <w:rPr/>
        <w:t xml:space="preserve">При этом установка средств не должна нарушать функционирование информационных систем, информационно-телекоммуникационных сетей, автоматизированных систем управления объекта критической информационной инфраструктуры.</w:t>
      </w:r>
      <w:br/>
    </w:p>
    <w:p>
      <w:pPr>
        <w:jc w:val="both"/>
        <w:spacing w:before="0" w:after="0" w:line="240" w:lineRule="exact"/>
      </w:pPr>
      <w:r>
        <w:rPr/>
        <w:t xml:space="preserve">7. Субъект критической информационной инфраструктуры после приема в эксплуатацию средств информирует об этом Национальный координационный центр по компьютерным инцидентам  </w:t>
      </w:r>
      <w:br/>
      <w:r>
        <w:rPr/>
        <w:t xml:space="preserve">в течение 5 календарных дней.</w:t>
      </w:r>
      <w:br/>
    </w:p>
    <w:p>
      <w:pPr>
        <w:jc w:val="both"/>
        <w:spacing w:before="0" w:after="0" w:line="240" w:lineRule="exact"/>
      </w:pPr>
      <w:r>
        <w:rPr/>
        <w:t xml:space="preserve">8. В целях непрерывного взаимодействия с государственной системой обнаружения, предупреждения и ликвидации последствий компьютерных атак на информационные ресурсы Российской Федерации субъект критической информационной инфраструктуры обеспечивает круглосуточную </w:t>
      </w:r>
      <w:br/>
      <w:r>
        <w:rPr/>
        <w:t xml:space="preserve">и бесперебойную работу средств.</w:t>
      </w:r>
      <w:br/>
    </w:p>
    <w:p>
      <w:pPr>
        <w:jc w:val="both"/>
        <w:spacing w:before="0" w:after="0" w:line="240" w:lineRule="exact"/>
      </w:pPr>
      <w:r>
        <w:rPr/>
        <w:t xml:space="preserve">9. Субъект критической информационной инфраструктуры определяет порядок доступа к эксплуатируемым средствам и осуществления контроля </w:t>
      </w:r>
      <w:br/>
      <w:r>
        <w:rPr/>
        <w:t xml:space="preserve">за ним.</w:t>
      </w:r>
      <w:br/>
    </w:p>
    <w:p>
      <w:pPr>
        <w:jc w:val="both"/>
        <w:spacing w:before="0" w:after="0" w:line="240" w:lineRule="exact"/>
      </w:pPr>
      <w:r>
        <w:rPr/>
        <w:t xml:space="preserve">10. Эксплуатация и техническое обслуживание средств осуществляется субъектом критической информационной инфраструктуры </w:t>
      </w:r>
      <w:br/>
      <w:r>
        <w:rPr/>
        <w:t xml:space="preserve">и (или) привлекаемой в соответствии с законодательством </w:t>
      </w:r>
      <w:br/>
      <w:r>
        <w:rPr/>
        <w:t xml:space="preserve">Российской Федерации субъектом критической информационной инфраструктуры организацией, осуществляющей лицензируемую деятельность в области защиты информации, в соответствии </w:t>
      </w:r>
      <w:br/>
      <w:r>
        <w:rPr/>
        <w:t xml:space="preserve">с эксплуатационной документацией на данные средства.</w:t>
      </w:r>
      <w:br/>
    </w:p>
    <w:p>
      <w:pPr>
        <w:jc w:val="both"/>
        <w:spacing w:before="0" w:after="0" w:line="240" w:lineRule="exact"/>
      </w:pPr>
      <w:r>
        <w:rPr/>
        <w:t xml:space="preserve">11. При аварийном отключении электропитания субъект критической информационной инфраструктуры должен обеспечивать работу средств </w:t>
      </w:r>
      <w:br/>
      <w:r>
        <w:rPr/>
        <w:t xml:space="preserve">в текущем режиме или правильное (корректное) завершение их работы </w:t>
      </w:r>
      <w:br/>
      <w:r>
        <w:rPr/>
        <w:t xml:space="preserve">с реализацией функции автоматического оповещения лиц, ответственных </w:t>
      </w:r>
      <w:br/>
      <w:r>
        <w:rPr/>
        <w:t xml:space="preserve">за эксплуатацию средств.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  <w:pPr>
      <w:jc w:val="both"/>
      <w:spacing w:line="25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2023-09-15T11:28:01+03:00</dcterms:created>
  <dcterms:modified xsi:type="dcterms:W3CDTF">2023-09-15T11:28:01+03:00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