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02.03.2017 № 244 "О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Правительство Российской Федерации постановляет: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Установить, что Министерство энергетики Российской Федерации утверждает нормативные правовые акты в области электроэнергетики, устанавливающие следующие требования к обеспечению надежности электроэнергетических систем, надежности и безопасности объектов электроэнергетики и энергопринимающих установок:</w:t>
      </w:r>
    </w:p>
    <w:p>
      <w:r>
        <w:rPr>
          <w:rFonts w:ascii="Calibri" w:hAnsi="Calibri" w:cs="Calibri"/>
          <w:sz w:val="22"/>
          <w:szCs w:val="22"/>
        </w:rPr>
        <w:t xml:space="preserve"> а) требования к функционированию электроэнергетических систем, в том числе к обеспечению устойчивости и надежности электроэнергетических систем (включая требования к взаимодействию субъектов электроэнергетики и потребителей электрической энергии в целях выполнения параметров электроэнергетического режима, надежности и устойчивости электроэнергетической системы, координации уровней токов короткого замыкания, планирования и управления электроэнергетическим режимом электроэнергетической системы, в том числе при предотвращении развития и ликвидации нарушений нормального электроэнергетического режима и технологических нарушений на объектах электроэнергетики и энергопринимающих установках, требования к функционированию в составе электроэнергетических систем объектов электроэнергетики, энергопринимающих установок, оборудования электрических станций и сетей, электроустановок потребителей электрической энергии), режимам и параметрам работы объектов электроэнергетики и энергопринимающих установок, релейной защите и автоматике (включая противоаварийную и режимную автоматику, информационно-технологическую инфраструктуру релейной защиты и автоматики в электроэнергетической системе, оперативно-диспетчерского управления в электроэнергетике и оперативно-технологического управления);</w:t>
      </w:r>
    </w:p>
    <w:p>
      <w:r>
        <w:rPr>
          <w:rFonts w:ascii="Calibri" w:hAnsi="Calibri" w:cs="Calibri"/>
          <w:sz w:val="22"/>
          <w:szCs w:val="22"/>
        </w:rPr>
        <w:t xml:space="preserve"> б) требования к функционированию объектов электроэнергетики и энергопринимающих установок, включая:</w:t>
      </w:r>
    </w:p>
    <w:p>
      <w:r>
        <w:rPr>
          <w:rFonts w:ascii="Calibri" w:hAnsi="Calibri" w:cs="Calibri"/>
          <w:sz w:val="22"/>
          <w:szCs w:val="22"/>
        </w:rPr>
        <w:t xml:space="preserve"> требования к организации эксплуатации объектов электроэнергетики и энергопринимающих установок, обеспечению надежности объектов электроэнергетики и энергопринимающих установок;</w:t>
      </w:r>
    </w:p>
    <w:p>
      <w:r>
        <w:rPr>
          <w:rFonts w:ascii="Calibri" w:hAnsi="Calibri" w:cs="Calibri"/>
          <w:sz w:val="22"/>
          <w:szCs w:val="22"/>
        </w:rPr>
        <w:t xml:space="preserve"> требования к контролю технического состояния объектов электроэнергетики и энергопринимающих установок и организации субъектами электроэнергетики ремонтной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требования в отношении базовых (обязательных) функций и информационной безопасности объектов электроэнергетики при создании и последующей эксплуатации на территории Российской Федерации систем удаленного мониторинга и диагностики энергетического оборудования;</w:t>
      </w:r>
    </w:p>
    <w:p>
      <w:r>
        <w:rPr>
          <w:rFonts w:ascii="Calibri" w:hAnsi="Calibri" w:cs="Calibri"/>
          <w:sz w:val="22"/>
          <w:szCs w:val="22"/>
        </w:rPr>
        <w:t xml:space="preserve"> в) требования к планированию развития электроэнергетических систем, включая требования к технологическому проектированию объектов электроэнергетики, обеспечивающие их надежное функционирование в составе электроэнергетических систем;</w:t>
      </w:r>
    </w:p>
    <w:p>
      <w:r>
        <w:rPr>
          <w:rFonts w:ascii="Calibri" w:hAnsi="Calibri" w:cs="Calibri"/>
          <w:sz w:val="22"/>
          <w:szCs w:val="22"/>
        </w:rPr>
        <w:t xml:space="preserve"> г) требования к безопасности объектов электроэнергетики и энергопринимающих установок;</w:t>
      </w:r>
    </w:p>
    <w:p>
      <w:r>
        <w:rPr>
          <w:rFonts w:ascii="Calibri" w:hAnsi="Calibri" w:cs="Calibri"/>
          <w:sz w:val="22"/>
          <w:szCs w:val="22"/>
        </w:rPr>
        <w:t xml:space="preserve"> д) требования к подготовке работников в сфере электроэнергетики, к работе на объектах электроэнергетики и энергопринимающих установках.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Министерству энергетики Российской Федерации:</w:t>
      </w:r>
    </w:p>
    <w:p>
      <w:r>
        <w:rPr>
          <w:rFonts w:ascii="Calibri" w:hAnsi="Calibri" w:cs="Calibri"/>
          <w:sz w:val="22"/>
          <w:szCs w:val="22"/>
        </w:rPr>
        <w:t xml:space="preserve"> а) при утверждении нормативных правовых актов, содержащих требования, указанные в пункте 1 настоящего постановления, руководствоваться следующими основными принципами:</w:t>
      </w:r>
    </w:p>
    <w:p>
      <w:r>
        <w:rPr>
          <w:rFonts w:ascii="Calibri" w:hAnsi="Calibri" w:cs="Calibri"/>
          <w:sz w:val="22"/>
          <w:szCs w:val="22"/>
        </w:rPr>
        <w:t xml:space="preserve"> бесперебойное обеспечение потребителей электрической энергией надлежащего качества в необходимых потребителям электрической энергии объемах;</w:t>
      </w:r>
    </w:p>
    <w:p>
      <w:r>
        <w:rPr>
          <w:rFonts w:ascii="Calibri" w:hAnsi="Calibri" w:cs="Calibri"/>
          <w:sz w:val="22"/>
          <w:szCs w:val="22"/>
        </w:rPr>
        <w:t xml:space="preserve"> обеспечение управляемости и живучести электроэнергетической системы и ее элементов, в том числе за счет регламентации объемов резервирования мощности и запасов топлива, химических реагентов, запасных частей и ремонтного оборудования и материалов;</w:t>
      </w:r>
    </w:p>
    <w:p>
      <w:r>
        <w:rPr>
          <w:rFonts w:ascii="Calibri" w:hAnsi="Calibri" w:cs="Calibri"/>
          <w:sz w:val="22"/>
          <w:szCs w:val="22"/>
        </w:rPr>
        <w:t xml:space="preserve"> стимулирование инвестиций в электроэнергетику;</w:t>
      </w:r>
    </w:p>
    <w:p>
      <w:r>
        <w:rPr>
          <w:rFonts w:ascii="Calibri" w:hAnsi="Calibri" w:cs="Calibri"/>
          <w:sz w:val="22"/>
          <w:szCs w:val="22"/>
        </w:rPr>
        <w:t xml:space="preserve"> координация технических решений, реализуемых в электроэнергетических системах собственниками объектов электроэнергетики и энергопринимающих установок, входящих в указанные системы;</w:t>
      </w:r>
    </w:p>
    <w:p>
      <w:r>
        <w:rPr>
          <w:rFonts w:ascii="Calibri" w:hAnsi="Calibri" w:cs="Calibri"/>
          <w:sz w:val="22"/>
          <w:szCs w:val="22"/>
        </w:rPr>
        <w:t xml:space="preserve"> формирование единой сбалансированной технической политики в электроэнергетике;</w:t>
      </w:r>
    </w:p>
    <w:p>
      <w:r>
        <w:rPr>
          <w:rFonts w:ascii="Calibri" w:hAnsi="Calibri" w:cs="Calibri"/>
          <w:sz w:val="22"/>
          <w:szCs w:val="22"/>
        </w:rPr>
        <w:t xml:space="preserve"> обеспечение технологической совместимости характеристик и параметров оборудования и устройств объектов электроэнергетики, обеспечение возможности их совместного надежного и безаварийного функционирования в составе электроэнергетических систем;</w:t>
      </w:r>
    </w:p>
    <w:p>
      <w:r>
        <w:rPr>
          <w:rFonts w:ascii="Calibri" w:hAnsi="Calibri" w:cs="Calibri"/>
          <w:sz w:val="22"/>
          <w:szCs w:val="22"/>
        </w:rPr>
        <w:t xml:space="preserve"> минимизация количества аварий и (или) длительности отказов в работе оборудования объектов электроэнергетики и энергопринимающих установок потребителей, приводящих к возникновению угрозы жизни и (или) здоровью людей, экологической безопасности и (или) безопасности государства, к необратимому нарушению непрерывных технологических процессов;</w:t>
      </w:r>
    </w:p>
    <w:p>
      <w:r>
        <w:rPr>
          <w:rFonts w:ascii="Calibri" w:hAnsi="Calibri" w:cs="Calibri"/>
          <w:sz w:val="22"/>
          <w:szCs w:val="22"/>
        </w:rPr>
        <w:t xml:space="preserve"> предотвращение и ликвидация нарушений электроснабжения потребителей;</w:t>
      </w:r>
    </w:p>
    <w:p>
      <w:r>
        <w:rPr>
          <w:rFonts w:ascii="Calibri" w:hAnsi="Calibri" w:cs="Calibri"/>
          <w:sz w:val="22"/>
          <w:szCs w:val="22"/>
        </w:rPr>
        <w:t xml:space="preserve"> обеспечение балансов производства и поставок электрической энергии (мощности) в рамках Единой энергетической системы России или по субъектам Российской Федерации либо в отдельных узлах потребления;</w:t>
      </w:r>
    </w:p>
    <w:p>
      <w:r>
        <w:rPr>
          <w:rFonts w:ascii="Calibri" w:hAnsi="Calibri" w:cs="Calibri"/>
          <w:sz w:val="22"/>
          <w:szCs w:val="22"/>
        </w:rPr>
        <w:t xml:space="preserve"> формирование механизмов стимулирования субъектов электроэнергетики по организации эффективной системы технического обслуживания и ремонтов, реконструкции и модернизации оборудования, входящего в состав объектов электроэнергетики;</w:t>
      </w:r>
    </w:p>
    <w:p>
      <w:r>
        <w:rPr>
          <w:rFonts w:ascii="Calibri" w:hAnsi="Calibri" w:cs="Calibri"/>
          <w:sz w:val="22"/>
          <w:szCs w:val="22"/>
        </w:rPr>
        <w:t xml:space="preserve"> содействие развитию российского энергетического машиностроения и приборостроения, электротехнической промышленности и связанных с ними сфер услуг;</w:t>
      </w:r>
    </w:p>
    <w:p>
      <w:r>
        <w:rPr>
          <w:rFonts w:ascii="Calibri" w:hAnsi="Calibri" w:cs="Calibri"/>
          <w:sz w:val="22"/>
          <w:szCs w:val="22"/>
        </w:rPr>
        <w:t xml:space="preserve"> обеспечение развития электроэнергетических систем, объектов электроэнергетики и энергопринимающих установок на базе современных технологических решений с использованием достижений научно-технического прогресса;</w:t>
      </w:r>
    </w:p>
    <w:p>
      <w:r>
        <w:rPr>
          <w:rFonts w:ascii="Calibri" w:hAnsi="Calibri" w:cs="Calibri"/>
          <w:sz w:val="22"/>
          <w:szCs w:val="22"/>
        </w:rPr>
        <w:t xml:space="preserve"> снижение уровня износа оборудования объектов электроэнергетики и повышение уровня эффективности использования оборудования;</w:t>
      </w:r>
    </w:p>
    <w:p>
      <w:r>
        <w:rPr>
          <w:rFonts w:ascii="Calibri" w:hAnsi="Calibri" w:cs="Calibri"/>
          <w:sz w:val="22"/>
          <w:szCs w:val="22"/>
        </w:rPr>
        <w:t xml:space="preserve"> повышение уровня подготовки персонала и поддержание его квалификации;</w:t>
      </w:r>
    </w:p>
    <w:p>
      <w:r>
        <w:rPr>
          <w:rFonts w:ascii="Calibri" w:hAnsi="Calibri" w:cs="Calibri"/>
          <w:sz w:val="22"/>
          <w:szCs w:val="22"/>
        </w:rPr>
        <w:t xml:space="preserve"> повышение прозрачности взаимоотношений между субъектами электроэнергетики, субъектами электроэнергетики и потребителями;</w:t>
      </w:r>
    </w:p>
    <w:p>
      <w:r>
        <w:rPr>
          <w:rFonts w:ascii="Calibri" w:hAnsi="Calibri" w:cs="Calibri"/>
          <w:sz w:val="22"/>
          <w:szCs w:val="22"/>
        </w:rPr>
        <w:t xml:space="preserve"> минимизация финансовых последствий внедрения новых требований для субъектов электроэнергетики и потребителей электрической энергии;</w:t>
      </w:r>
    </w:p>
    <w:p>
      <w:r>
        <w:rPr>
          <w:rFonts w:ascii="Calibri" w:hAnsi="Calibri" w:cs="Calibri"/>
          <w:sz w:val="22"/>
          <w:szCs w:val="22"/>
        </w:rPr>
        <w:t xml:space="preserve"> достаточность ресурсов для соблюдения новых требований;</w:t>
      </w:r>
    </w:p>
    <w:p>
      <w:r>
        <w:rPr>
          <w:rFonts w:ascii="Calibri" w:hAnsi="Calibri" w:cs="Calibri"/>
          <w:sz w:val="22"/>
          <w:szCs w:val="22"/>
        </w:rPr>
        <w:t xml:space="preserve"> обеспечение этапности внедрения новых требований;</w:t>
      </w:r>
    </w:p>
    <w:p>
      <w:r>
        <w:rPr>
          <w:rFonts w:ascii="Calibri" w:hAnsi="Calibri" w:cs="Calibri"/>
          <w:sz w:val="22"/>
          <w:szCs w:val="22"/>
        </w:rPr>
        <w:t xml:space="preserve"> б) направлять нормативные правовые акты, содержащие требования, указанные в пункте 1 настоящего постановления, до согласования их с заинтересованными федеральными органами исполнительной власти в Ассоциацию «Некоммерческое партнерство Совет рынка по организации эффективной системы оптовой и розничной торговли электрической энергией и мощностью» для оценки влияния требований, установленных в указанных нормативных правовых актах, на потребителей и производителей электрической энергии и изменение цен на оптовом рынке электрической энергии и мощности.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Утвердить прилагаемые изменения, которые вносятся в акты Правительства Российской Федерации по вопросам полномочий федеральных органов исполнительной власти в сфере электроэнергетики.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Реализацию настоящего постановления осуществить в пределах установленной предельной численности работников центрального аппарата и территориальных органов федеральных органов исполнительной власти и бюджетных ассигнований, предусмотренных в федеральном бюджете соответствующим федеральным органам исполнительной власти на руководство и управление в сфере установленных функций.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2018-09-26T19:56:01+03:00</dcterms:created>
  <dcterms:modified xsi:type="dcterms:W3CDTF">2018-09-26T19:56:01+03:00</dcterms:modified>
  <dc:title/>
  <dc:description/>
  <dc:subject/>
  <cp:keywords/>
  <cp:category/>
</cp:coreProperties>
</file>