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25.01.2013 № 33 "Об использовании простой электронной подписи при оказании государственных и муниципальных услуг"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28.10.2013 № 968, от 09.12.2013 № 1135, от 05.12.2014 № 1327)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Правила использования простой электронной подписи при оказании государственных и муниципальных услуг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Операторы выдачи ключа обязаны обеспечивать конфиденциальность ключа.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При использовании простой электронной подписи заявитель должен быть ознакомлен оператором выдачи ключа с правилами использования простой электронной подписи.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Заявитель - владелец ключа обязан:</w:t>
      </w:r>
    </w:p>
    <w:p>
      <w:r>
        <w:rPr>
          <w:rFonts w:ascii="Calibri" w:hAnsi="Calibri" w:cs="Calibri"/>
          <w:sz w:val="22"/>
          <w:szCs w:val="22"/>
        </w:rPr>
        <w:t xml:space="preserve"> а) хранить в тайне ключ, принимать все возможные меры, предотвращающие нарушение его конфиденциальности;</w:t>
      </w:r>
    </w:p>
    <w:p>
      <w:r>
        <w:rPr>
          <w:rFonts w:ascii="Calibri" w:hAnsi="Calibri" w:cs="Calibri"/>
          <w:sz w:val="22"/>
          <w:szCs w:val="22"/>
        </w:rPr>
        <w:t xml:space="preserve"> б) формировать простую электронную подпись с использованием ключа, полученного в порядке, установленном настоящими Правилами;</w:t>
      </w:r>
    </w:p>
    <w:p>
      <w:r>
        <w:rPr>
          <w:rFonts w:ascii="Calibri" w:hAnsi="Calibri" w:cs="Calibri"/>
          <w:sz w:val="22"/>
          <w:szCs w:val="22"/>
        </w:rPr>
        <w:t xml:space="preserve"> в) в случае нарушения конфиденциальности ключа или его утери незамедлительно уведомить об этом оператора выдачи ключа или оператора единой системы идентификации и аутентификации.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В заявлении, подаваемом заявителем - физическим лицом, должны быть указаны (если иное не предусмотрено настоящими Правилами) фамилия, имя и отчество (если имеется), страховой номер индивидуального лицевого счета, а также согласие заявителя на обработку его персональных данных, указываемых в заявлении, в соответствии с Федеральным законом "О персональных данных".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заявлении, подаваемом заявителем - юридическим лицом, должны быть указаны наименование и место нахождения юридического лица, основной государственный регистрационный номер юридического лица, фамилия, имя и отчество (если имеется) уполномоченного лица, страховой номер индивидуального лицевого счета такого уполномоченного лица, а также его согласие на обработку персональных данных, указываемых в заявлении, в соответствии с Федеральным законом "О персональных данных".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2018-09-26T23:07:01+03:00</dcterms:created>
  <dcterms:modified xsi:type="dcterms:W3CDTF">2018-09-26T23:07:01+03:00</dcterms:modified>
  <dc:title/>
  <dc:description/>
  <dc:subject/>
  <cp:keywords/>
  <cp:category/>
</cp:coreProperties>
</file>