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"Положение о бесперебойности функционирования платежных систем и анализе рисков в платежных системах" (утв. Банком России 31.05.2012 № 379-П)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«Указания» Банка России от 10.07.2014 № 3317-У)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13.06.2012 № 24544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Федерального закона от 27 июня 2011 года № 161-ФЗ "О национальной платежной системе" (Собрание законодательства Российской Федерации, 2011, № 27, ст. 3872) (далее - Федеральный закон № 161-ФЗ) настоящее Положение устанавливает требования к порядку обеспечения бесперебойности функционирования платежных систем, показателям бесперебойности функционирования платежных систем и методикам анализа рисков в платежных системах.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Требования настоящего Положения применяются к оператору платежной системы, привлеченным им операторам услуг платежной инфраструктуры, участникам платежной системы (далее при совместном упоминании - субъекты платежной системы) при обеспечении ими бесперебойности функционирования платежной системы (далее - БФПС) как способности предупреждать нарушения требований законодательства Российской Федерации, правил платежной системы, заключенных договоров при взаимодействии субъектов платежной системы (далее - нарушения надлежащего функционирования платежной системы), а также восстанавливать надлежащее функционирование платежной системы в случае его нарушения в течение времени, определенного в правилах платежной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целях обеспечения БФПС оператором платежной системы устанавливается порядок осуществления субъектами платежной системы скоординированной деятельности, направленной на достижение, подтверждение и поддержание приемлемого уровня рисков нарушения БФПС, под которыми понимаются присущие функционированию платежной системы типичные возможности неоказания, ненадлежащего оказания услуг платежной системы участникам платежной системы вследствие наступления неблагоприятных событий, связанных с внутренними и внешними факторами функционирования платежной системы (далее - факторы риска нарушения БФПС).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Оператор платежной системы организует управление рисками нарушения БФПС, включающее:</w:t>
      </w:r>
    </w:p>
    <w:p>
      <w:r>
        <w:rPr>
          <w:rFonts w:ascii="Calibri" w:hAnsi="Calibri" w:cs="Calibri"/>
          <w:sz w:val="22"/>
          <w:szCs w:val="22"/>
        </w:rPr>
        <w:t xml:space="preserve"> установление приемлемого уровня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анализ рисков нарушения БФПС (выявление факторов риска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определение степени и характера влияния указанных факторов на БФПС;</w:t>
      </w:r>
    </w:p>
    <w:p>
      <w:r>
        <w:rPr>
          <w:rFonts w:ascii="Calibri" w:hAnsi="Calibri" w:cs="Calibri"/>
          <w:sz w:val="22"/>
          <w:szCs w:val="22"/>
        </w:rPr>
        <w:t xml:space="preserve"> оценку достигнутого уровня рисков нарушения БФПС, под которым понимается размер возможного ущерба, причиняемого участникам платежной системы, их клиентам вследствие нарушений надлежащего функционирования платежной системы, с учетом вероятности возникновения указанных нарушений в течение прогнозируемого периода времени;</w:t>
      </w:r>
    </w:p>
    <w:p>
      <w:r>
        <w:rPr>
          <w:rFonts w:ascii="Calibri" w:hAnsi="Calibri" w:cs="Calibri"/>
          <w:sz w:val="22"/>
          <w:szCs w:val="22"/>
        </w:rPr>
        <w:t xml:space="preserve"> подтверждение соответствия достигнутого уровня рисков нарушения БФПС установленному приемлемому уровню рисков нарушения БФПС);</w:t>
      </w:r>
    </w:p>
    <w:p>
      <w:r>
        <w:rPr>
          <w:rFonts w:ascii="Calibri" w:hAnsi="Calibri" w:cs="Calibri"/>
          <w:sz w:val="22"/>
          <w:szCs w:val="22"/>
        </w:rPr>
        <w:t xml:space="preserve"> принятие мер, необходимых для достижения или поддержания приемлемого уровня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выявление текущих изменений достигнутого уровня риска нарушения БФПС (далее - мониторинг рисков нарушения БФПС);</w:t>
      </w:r>
    </w:p>
    <w:p>
      <w:r>
        <w:rPr>
          <w:rFonts w:ascii="Calibri" w:hAnsi="Calibri" w:cs="Calibri"/>
          <w:sz w:val="22"/>
          <w:szCs w:val="22"/>
        </w:rPr>
        <w:t xml:space="preserve"> информационное взаимодействие субъектов платежной системы в целях управления рисками нарушения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целях регламентации порядка обеспечения БФПС оператор платежной системы с учетом особенностей функционирования платежной системы (включая используемые процедуры платежного клиринга и расчета, применяемые технологии обработки платежной информации, характер и масштабы деятельности платежной системы) должен определить:</w:t>
      </w:r>
    </w:p>
    <w:p>
      <w:r>
        <w:rPr>
          <w:rFonts w:ascii="Calibri" w:hAnsi="Calibri" w:cs="Calibri"/>
          <w:sz w:val="22"/>
          <w:szCs w:val="22"/>
        </w:rPr>
        <w:t xml:space="preserve"> организационные аспекты взаимодействия субъектов платежной системы при осуществлении деятельности по обеспечению БФПС;</w:t>
      </w:r>
    </w:p>
    <w:p>
      <w:r>
        <w:rPr>
          <w:rFonts w:ascii="Calibri" w:hAnsi="Calibri" w:cs="Calibri"/>
          <w:sz w:val="22"/>
          <w:szCs w:val="22"/>
        </w:rPr>
        <w:t xml:space="preserve"> требования к содержанию деятельности по обеспечению БФПС, осуществляемой оператором платежной системы, операторами услуг платежной инфраструктуры и участниками платежной системы (по видам участия в платежной системе, предусмотренным правилами платежной системы);</w:t>
      </w:r>
    </w:p>
    <w:p>
      <w:r>
        <w:rPr>
          <w:rFonts w:ascii="Calibri" w:hAnsi="Calibri" w:cs="Calibri"/>
          <w:sz w:val="22"/>
          <w:szCs w:val="22"/>
        </w:rPr>
        <w:t xml:space="preserve"> порядок информационного взаимодействия субъектов платежной системы и документационного обеспечения их деятельности по обеспечению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Организационные аспекты взаимодействия субъектов платежной системы при осуществлении деятельности по обеспечению БФПС включают:</w:t>
      </w:r>
    </w:p>
    <w:p>
      <w:r>
        <w:rPr>
          <w:rFonts w:ascii="Calibri" w:hAnsi="Calibri" w:cs="Calibri"/>
          <w:sz w:val="22"/>
          <w:szCs w:val="22"/>
        </w:rPr>
        <w:t xml:space="preserve"> организационную модель управления рисками в платежной системе;</w:t>
      </w:r>
    </w:p>
    <w:p>
      <w:r>
        <w:rPr>
          <w:rFonts w:ascii="Calibri" w:hAnsi="Calibri" w:cs="Calibri"/>
          <w:sz w:val="22"/>
          <w:szCs w:val="22"/>
        </w:rPr>
        <w:t xml:space="preserve"> определение субъекта платежной системы (оператора платежной системы или расчетного центра в соответствии с организационной моделью управления рисками в платежной системе), осуществляющего координацию деятельности субъектов платежной системы по обеспечению БФПС;</w:t>
      </w:r>
    </w:p>
    <w:p>
      <w:r>
        <w:rPr>
          <w:rFonts w:ascii="Calibri" w:hAnsi="Calibri" w:cs="Calibri"/>
          <w:sz w:val="22"/>
          <w:szCs w:val="22"/>
        </w:rPr>
        <w:t xml:space="preserve"> порядок и формы координации деятельности субъектов платежной системы по обеспечению БФПС и реализации ими мероприятий системы управления рисками (далее - СУР)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порядок и формы осуществления контроля за соблюдением участниками платежной системы, операторами услуг платежной инфраструктуры порядка обеспечения БФПС;</w:t>
      </w:r>
    </w:p>
    <w:p>
      <w:r>
        <w:rPr>
          <w:rFonts w:ascii="Calibri" w:hAnsi="Calibri" w:cs="Calibri"/>
          <w:sz w:val="22"/>
          <w:szCs w:val="22"/>
        </w:rPr>
        <w:t xml:space="preserve"> обязанности каждого из привлеченных операторов услуг платежной инфраструктуры по обеспечению бесперебойности оказания услуг платежной инфраструктуры, предоставляемых им участникам платежной системы и их клиентам, а также по организации управления рисками нарушения БФПС в части полномочий, делегированных ему оператором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разграничение ответственности и полномочий между субъектами платежной системы по осуществлению управления рисками нарушения БФПС, в том числе обязанности оператора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порядок оценки эффективности СУР платежной системы в целях ее совершенствования.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Требования к содержанию деятельности по обеспечению БФПС, осуществляемой оператором платежной системы, операторами услуг платежной инфраструктуры и участниками платежной системы (по видам участия), включают:</w:t>
      </w:r>
    </w:p>
    <w:p>
      <w:r>
        <w:rPr>
          <w:rFonts w:ascii="Calibri" w:hAnsi="Calibri" w:cs="Calibri"/>
          <w:sz w:val="22"/>
          <w:szCs w:val="22"/>
        </w:rPr>
        <w:t xml:space="preserve"> требования к детализации приемлемого уровня рисков нарушения БФПС в разрезе категорий субъектов платежной системы: операторов услуг платежной инфраструктуры - по видам услуг, участников платежной системы - по видам участия в платежной системе;</w:t>
      </w:r>
    </w:p>
    <w:p>
      <w:r>
        <w:rPr>
          <w:rFonts w:ascii="Calibri" w:hAnsi="Calibri" w:cs="Calibri"/>
          <w:sz w:val="22"/>
          <w:szCs w:val="22"/>
        </w:rPr>
        <w:t xml:space="preserve"> порядок разработки, применения и оценки эффективности методик анализа рисков в платежной системе, требования к оформлению и проверке результатов анализа;</w:t>
      </w:r>
    </w:p>
    <w:p>
      <w:r>
        <w:rPr>
          <w:rFonts w:ascii="Calibri" w:hAnsi="Calibri" w:cs="Calibri"/>
          <w:sz w:val="22"/>
          <w:szCs w:val="22"/>
        </w:rPr>
        <w:t xml:space="preserve"> порядок оценки качества и надежности функционирования информационных систем, операционных и технологических средств, применяемых операторами услуг платежной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порядок выбора и реализации мероприятий и способов достижения и поддержания приемлемого уровня рисков нарушения БФПС, порядок оценки их эффективности и совершенствования;</w:t>
      </w:r>
    </w:p>
    <w:p>
      <w:r>
        <w:rPr>
          <w:rFonts w:ascii="Calibri" w:hAnsi="Calibri" w:cs="Calibri"/>
          <w:sz w:val="22"/>
          <w:szCs w:val="22"/>
        </w:rPr>
        <w:t xml:space="preserve"> требования к мониторингу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требования к планам обеспечения непрерывности деятельности и восстановления деятельности операторов услуг платежной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Порядок информационного взаимодействия субъектов платежной системы и документационного обеспечения их деятельности по обеспечению БФПС включает:</w:t>
      </w:r>
    </w:p>
    <w:p>
      <w:r>
        <w:rPr>
          <w:rFonts w:ascii="Calibri" w:hAnsi="Calibri" w:cs="Calibri"/>
          <w:sz w:val="22"/>
          <w:szCs w:val="22"/>
        </w:rPr>
        <w:t xml:space="preserve"> перечень документов, используемых субъектами платежной системы при осуществлении деятельности по обеспечению БФПС, и порядок их составления;</w:t>
      </w:r>
    </w:p>
    <w:p>
      <w:r>
        <w:rPr>
          <w:rFonts w:ascii="Calibri" w:hAnsi="Calibri" w:cs="Calibri"/>
          <w:sz w:val="22"/>
          <w:szCs w:val="22"/>
        </w:rPr>
        <w:t xml:space="preserve"> порядок информирования оператора платежной системы о событиях, вызвавших спорные, нестандартные и чрезвычайные ситуации, включая случаи системных сбоев, результатах расследования указанных событий, анализа их причин и последствий;</w:t>
      </w:r>
    </w:p>
    <w:p>
      <w:r>
        <w:rPr>
          <w:rFonts w:ascii="Calibri" w:hAnsi="Calibri" w:cs="Calibri"/>
          <w:sz w:val="22"/>
          <w:szCs w:val="22"/>
        </w:rPr>
        <w:t xml:space="preserve"> порядок информирования оператора платежной системы о неисполнении или ненадлежащем исполнении обязательств участников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порядок сбора, документирования и статистической обработки первичной информации о функционировании платежной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Первичная информация о функционировании платежной системы может включать:</w:t>
      </w:r>
    </w:p>
    <w:p>
      <w:r>
        <w:rPr>
          <w:rFonts w:ascii="Calibri" w:hAnsi="Calibri" w:cs="Calibri"/>
          <w:sz w:val="22"/>
          <w:szCs w:val="22"/>
        </w:rPr>
        <w:t xml:space="preserve"> информацию о времени приема к исполнению, исполнения распоряжений участников платежной системы об осуществлении перевода денежных средств, количестве и суммах указанных распоряжений (в том числе по каждому участнику платежной системы, являющемуся плательщиком или получателем денежных средств);</w:t>
      </w:r>
    </w:p>
    <w:p>
      <w:r>
        <w:rPr>
          <w:rFonts w:ascii="Calibri" w:hAnsi="Calibri" w:cs="Calibri"/>
          <w:sz w:val="22"/>
          <w:szCs w:val="22"/>
        </w:rPr>
        <w:t xml:space="preserve"> информацию о размерах клиринговых позиций и остатках денежных средств на банковских счетах участников платежной системы, открытых в расчетном центре;</w:t>
      </w:r>
    </w:p>
    <w:p>
      <w:r>
        <w:rPr>
          <w:rFonts w:ascii="Calibri" w:hAnsi="Calibri" w:cs="Calibri"/>
          <w:sz w:val="22"/>
          <w:szCs w:val="22"/>
        </w:rPr>
        <w:t xml:space="preserve"> информацию об использовании и возмещении средств гарантийного фонда платежной системы (в случае его создания), обеспечения, предусмотренного правилами платежной системы, предоставляемого участниками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иную информацию о функционировании платежной системы, предусмотренную правилами платежной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Деятельность по обеспечению БФПС осуществляется субъектами платежной системы в соответствии с порядком обеспечения БФПС и контролируется оператором платежной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 платежной системы в целях обеспечения БФПС обязан:</w:t>
      </w:r>
    </w:p>
    <w:p>
      <w:r>
        <w:rPr>
          <w:rFonts w:ascii="Calibri" w:hAnsi="Calibri" w:cs="Calibri"/>
          <w:sz w:val="22"/>
          <w:szCs w:val="22"/>
        </w:rPr>
        <w:t xml:space="preserve"> выявлять в своей платежной системе организации, предоставляющие ее участникам, их клиентам услуги платежной инфраструктуры, в том числе в случаях, если услуги платежной инфраструктуры оказываются единственному участнику или ограниченному числу участников и (или) их клиентов, осуществлять привлечение указанных организаций в качестве операторов услуг платежной инфраструктуры в соответствии с требованиями пункта 2 статьи 15 Федерального закона № 161-ФЗ;</w:t>
      </w:r>
    </w:p>
    <w:p>
      <w:r>
        <w:rPr>
          <w:rFonts w:ascii="Calibri" w:hAnsi="Calibri" w:cs="Calibri"/>
          <w:sz w:val="22"/>
          <w:szCs w:val="22"/>
        </w:rPr>
        <w:t xml:space="preserve"> определять требования к операторам услуг платежной инфраструктуры в части бесперебойности оказания ими услуг платежной инфраструктуры участникам платежной системы, обеспечивать контроль за исполнением указанных требований;</w:t>
      </w:r>
    </w:p>
    <w:p>
      <w:r>
        <w:rPr>
          <w:rFonts w:ascii="Calibri" w:hAnsi="Calibri" w:cs="Calibri"/>
          <w:sz w:val="22"/>
          <w:szCs w:val="22"/>
        </w:rPr>
        <w:t xml:space="preserve"> при наличии в платежной системе двух и более расчетных, платежных клиринговых или операционных центров обеспечивать взаимозаменяемость операторов соответствующих услуг платежной инфраструктуры и (или) возможность для участников платежной системы осуществить переход в течение не более 10 рабочих дней, для значимых платежных систем - в течение не более трех рабочих дней, на обслуживание к другому оператору услуг платежной инфраструктуры, в случае нарушения обслуживающим их оператором услуг платежной инфраструктуры требований к бесперебойности оказания услуг платежной инфраструктуры, в том числе приостановления (прекращения) оказания услуг;</w:t>
      </w:r>
    </w:p>
    <w:p>
      <w:r>
        <w:rPr>
          <w:rFonts w:ascii="Calibri" w:hAnsi="Calibri" w:cs="Calibri"/>
          <w:sz w:val="22"/>
          <w:szCs w:val="22"/>
        </w:rPr>
        <w:t xml:space="preserve"> установить критерии надлежащего функционирования платежной системы, позволяющие однозначно идентифицировать его нарушения;</w:t>
      </w:r>
    </w:p>
    <w:p>
      <w:r>
        <w:rPr>
          <w:rFonts w:ascii="Calibri" w:hAnsi="Calibri" w:cs="Calibri"/>
          <w:sz w:val="22"/>
          <w:szCs w:val="22"/>
        </w:rPr>
        <w:t xml:space="preserve"> обеспечить применимость, результативность и эффективность определенных в правилах платежной системы в части, предусмотренной пунктами 1, 12 - 15, 17 - 19, 22 части 1 и частью 2 статьи 20 Федерального закона № 161-ФЗ, мер и механизмов (правовых, организационных, технических, технологических и иных), направленных на предотвращение нарушений и (или) своевременное восстановление надлежащего функционирования платежной системы, в том числе путем совершенствования правил платежной системы в указанной части, на основе результатов анализа случаев нарушения БФПС, приостановления (прекращения) оказания услуг платежной инфраструктуры, причин и последствий событий, вызвавших или способных вызвать операционные или системные сбои в платежной системе, а также результатов регулярного тестирования указанных мер и механизмов;</w:t>
      </w:r>
    </w:p>
    <w:p>
      <w:r>
        <w:rPr>
          <w:rFonts w:ascii="Calibri" w:hAnsi="Calibri" w:cs="Calibri"/>
          <w:sz w:val="22"/>
          <w:szCs w:val="22"/>
        </w:rPr>
        <w:t xml:space="preserve"> определить продолжительность периода времени, в течение которого надлежащее функционирование платежной системы должно быть восстановлено в случае его нарушения, в том числе в случае приостановления (прекращения) оказания услуг платежной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для системно значимой платежной системы продолжительность указанного периода времени не должна превышать 24 часов, для социально значимой платежной системы - 72 часов, при этом в случае приостановления (прекращения) осуществления переводов денежных средств в рамках системно значимой платежной системы оно должно быть возобновлено не позднее двух часов с момента приостановления (прекращения), в рамках социально значимой платежной системы - не позднее 24 часов с момента приостановления (прекращения);</w:t>
      </w:r>
    </w:p>
    <w:p>
      <w:r>
        <w:rPr>
          <w:rFonts w:ascii="Calibri" w:hAnsi="Calibri" w:cs="Calibri"/>
          <w:sz w:val="22"/>
          <w:szCs w:val="22"/>
        </w:rPr>
        <w:t xml:space="preserve"> обеспечить восстановление надлежащего функционирования платежной системы в случае его нарушения, в том числе восстановление оказания услуг платежной инфраструктуры, в установленные сроки.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Субъекты платежной системы организуют деятельность по реализации порядка обеспечения БФПС в рамках внутренних систем управления рисками своей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Оператором платежной системы, не являющимся кредитной организацией, операторами услуг платежной инфраструктуры, не являющимися кредитными организациями, в целях обеспечения БФПС определяются лица или структурные подразделения, ответственные за осуществление деятельности, предусмотренной порядком обеспечения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Оператором платежной системы определяются показатели БФПС для использования в целях:</w:t>
      </w:r>
    </w:p>
    <w:p>
      <w:r>
        <w:rPr>
          <w:rFonts w:ascii="Calibri" w:hAnsi="Calibri" w:cs="Calibri"/>
          <w:sz w:val="22"/>
          <w:szCs w:val="22"/>
        </w:rPr>
        <w:t xml:space="preserve"> анализа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описания профиля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выбора или пересмотра мер, необходимых для достижения или поддержания приемлемого уровня рисков нарушения БФПС, и идентификации субъекта (категории субъектов) платежной системы, ответственного (ответственных) за их реализацию.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Оператором платежной системы могут определяться как количественные, так и качественные показатели БФПС, характеризующие как уровень, так и изменения уровня риска нарушения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 показателям БФПС относятся:</w:t>
      </w:r>
    </w:p>
    <w:p>
      <w:r>
        <w:rPr>
          <w:rFonts w:ascii="Calibri" w:hAnsi="Calibri" w:cs="Calibri"/>
          <w:sz w:val="22"/>
          <w:szCs w:val="22"/>
        </w:rPr>
        <w:t xml:space="preserve"> уровень бесперебойности оказания операционных услуг;</w:t>
      </w:r>
    </w:p>
    <w:p>
      <w:r>
        <w:rPr>
          <w:rFonts w:ascii="Calibri" w:hAnsi="Calibri" w:cs="Calibri"/>
          <w:sz w:val="22"/>
          <w:szCs w:val="22"/>
        </w:rPr>
        <w:t xml:space="preserve"> уровень бесперебойности оказания услуг платежного клиринга;</w:t>
      </w:r>
    </w:p>
    <w:p>
      <w:r>
        <w:rPr>
          <w:rFonts w:ascii="Calibri" w:hAnsi="Calibri" w:cs="Calibri"/>
          <w:sz w:val="22"/>
          <w:szCs w:val="22"/>
        </w:rPr>
        <w:t xml:space="preserve"> уровень бесперебойности оказания расчетных услуг.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Иные показатели БФПС могут дополнительно определяться оператором платежной системы в соответствии с составом факторов риска нарушения БФПС, к которым в том числе относятся:</w:t>
      </w:r>
    </w:p>
    <w:p>
      <w:r>
        <w:rPr>
          <w:rFonts w:ascii="Calibri" w:hAnsi="Calibri" w:cs="Calibri"/>
          <w:sz w:val="22"/>
          <w:szCs w:val="22"/>
        </w:rPr>
        <w:t xml:space="preserve"> способы управления ликвидностью и обеспечения исполнения обязательств участников платежной системы, предусмотренные правилами платежной системы, с учетом критериев участия в платежной системе, в том числе требований, касающихся финансового состояния, технологического обеспечения участников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финансовое состояние операторов услуг платежной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технологическое обеспечение операторов услуг платежной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зависимость от платежных систем, с операторами которых заключен договор о взаимодействии платежных систем;</w:t>
      </w:r>
    </w:p>
    <w:p>
      <w:r>
        <w:rPr>
          <w:rFonts w:ascii="Calibri" w:hAnsi="Calibri" w:cs="Calibri"/>
          <w:sz w:val="22"/>
          <w:szCs w:val="22"/>
        </w:rPr>
        <w:t xml:space="preserve"> зависимость от внешних поставщиков (провайдеров) услуг;</w:t>
      </w:r>
    </w:p>
    <w:p>
      <w:r>
        <w:rPr>
          <w:rFonts w:ascii="Calibri" w:hAnsi="Calibri" w:cs="Calibri"/>
          <w:sz w:val="22"/>
          <w:szCs w:val="22"/>
        </w:rPr>
        <w:t xml:space="preserve"> наличие конфликта интересов субъекта платежной системы, связанных с деятельностью в рамках платежной системы и связанных с иной деятельностью;</w:t>
      </w:r>
    </w:p>
    <w:p>
      <w:r>
        <w:rPr>
          <w:rFonts w:ascii="Calibri" w:hAnsi="Calibri" w:cs="Calibri"/>
          <w:sz w:val="22"/>
          <w:szCs w:val="22"/>
        </w:rPr>
        <w:t xml:space="preserve"> рыночные и инфраструктурные факторы, которым подвержен гарантийный фонд платежной системы (в случае если его создание предусмотрено правилами платежной системы);</w:t>
      </w:r>
    </w:p>
    <w:p>
      <w:r>
        <w:rPr>
          <w:rFonts w:ascii="Calibri" w:hAnsi="Calibri" w:cs="Calibri"/>
          <w:sz w:val="22"/>
          <w:szCs w:val="22"/>
        </w:rPr>
        <w:t xml:space="preserve"> несоответствие деятельности оператора платежной системы, оператора услуг платежной инфраструктуры требованиям законодательства Российской Федерации о национальной платежной системе, о банках и банковской деятельности, принятых в соответствии с ними нормативных актов Банка России, правил платежной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Для каждого устанавливаемого показателя БФПС определяется процедура и методика его формирования на основе первичной информации о функционировании платежной системы и сведений о факторах риска нарушения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Методики анализа рисков в платежной системе должны обеспечивать:</w:t>
      </w:r>
    </w:p>
    <w:p>
      <w:r>
        <w:rPr>
          <w:rFonts w:ascii="Calibri" w:hAnsi="Calibri" w:cs="Calibri"/>
          <w:sz w:val="22"/>
          <w:szCs w:val="22"/>
        </w:rPr>
        <w:t xml:space="preserve"> описание профиля рисков нарушения БФПС как структурированного перечня выявленных факторов риска нарушения БФПС с указанием сопоставленных им категорий субъектов платежной системы, характера и степени влияния, оказываемого на БФПС, возможных форм или сценариев их проявления;</w:t>
      </w:r>
    </w:p>
    <w:p>
      <w:r>
        <w:rPr>
          <w:rFonts w:ascii="Calibri" w:hAnsi="Calibri" w:cs="Calibri"/>
          <w:sz w:val="22"/>
          <w:szCs w:val="22"/>
        </w:rPr>
        <w:t xml:space="preserve"> выявление закономерностей функционирования платежной системы на основе статистического или сценарного анализа функционирования платежной системы;</w:t>
      </w:r>
    </w:p>
    <w:p>
      <w:r>
        <w:rPr>
          <w:rFonts w:ascii="Calibri" w:hAnsi="Calibri" w:cs="Calibri"/>
          <w:sz w:val="22"/>
          <w:szCs w:val="22"/>
        </w:rPr>
        <w:t xml:space="preserve"> выявление возможностей нарушений надлежащего функционирования платежной системы, разделение указанных нарушений на не оказывающие и оказывающие влияние на БФПС, в том числе приводящие к нарушению БФПС;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оценки достигнутого уровня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выявление изменений достигнутого уровня рисков нарушения БФПС и профиля рисков нарушения БФПС;</w:t>
      </w:r>
    </w:p>
    <w:p>
      <w:r>
        <w:rPr>
          <w:rFonts w:ascii="Calibri" w:hAnsi="Calibri" w:cs="Calibri"/>
          <w:sz w:val="22"/>
          <w:szCs w:val="22"/>
        </w:rPr>
        <w:t xml:space="preserve"> определение приемлемого уровня риска нарушения БФПС.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Порядок обеспечения бесперебойности функционирования платежной системы Банка России устанавливается правилами платежной системы Банка России, определяемыми нормативными актами Банка России на основании Федерального закона № 161-ФЗ.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Операторы платежных систем должны обеспечить регламентацию порядка обеспечения БФПС, организовать деятельность по реализации порядка обеспечения БФПС, определить показатели БФПС, методики анализа рисков в платежной системе в соответствии с требованиями настоящего Положения в срок до 1 января 2013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Настоящее Положение подлежит официальному опубликованию в «Вестнике Банка России» и в соответствии с решением Совета директоров Банка России (протокол заседания Совета директоров Банка России от 31 мая 2012 года № 10) вступает в силу с 1 июля 2012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Центрального банка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С.М. Игнатьев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2018-09-26T23:47:01+03:00</dcterms:created>
  <dcterms:modified xsi:type="dcterms:W3CDTF">2018-09-26T23:47:01+03:00</dcterms:modified>
  <dc:title/>
  <dc:description/>
  <dc:subject/>
  <cp:keywords/>
  <cp:category/>
</cp:coreProperties>
</file>