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spacing w:before="5" w:after="5"/>
      </w:pPr>
      <w:r>
        <w:rPr>
          <w:rFonts w:ascii="Calibri" w:hAnsi="Calibri" w:cs="Calibri"/>
          <w:sz w:val="40"/>
          <w:szCs w:val="40"/>
          <w:b/>
        </w:rPr>
        <w:t xml:space="preserve">Указание Банка России от 09.06.2012 № 2831-У "Об отчетности по обеспечению защиты информации при осуществлении переводов денежных средств операторов платежных систем, операторов услуг платежной инфраструктуры, операторов по переводу денежных средств"</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 </w:t>
      </w:r>
      <w:r>
        <w:rPr>
          <w:rFonts w:ascii="Calibri" w:hAnsi="Calibri" w:cs="Calibri"/>
          <w:sz w:val="22"/>
          <w:szCs w:val="22"/>
          <w:i/>
          <w:iCs/>
        </w:rPr>
        <w:t xml:space="preserve">(в ред. «Указания» Банка России от 21.06.2013 № 3024-У)</w:t>
      </w:r>
      <w:r>
        <w:rPr>
          <w:rFonts w:ascii="Calibri" w:hAnsi="Calibri" w:cs="Calibri"/>
          <w:sz w:val="22"/>
          <w:szCs w:val="22"/>
        </w:rPr>
        <w:t xml:space="preserve"> </w:t>
      </w:r>
    </w:p>
    <w:p>
      <w:pPr>
        <w:jc w:val="both"/>
        <w:spacing w:before="5" w:after="5"/>
      </w:pPr>
      <w:r>
        <w:rPr>
          <w:rFonts w:ascii="Calibri" w:hAnsi="Calibri" w:cs="Calibri"/>
          <w:sz w:val="22"/>
          <w:szCs w:val="22"/>
        </w:rPr>
        <w:t xml:space="preserve"> </w:t>
      </w:r>
      <w:r>
        <w:rPr>
          <w:rFonts w:ascii="Calibri" w:hAnsi="Calibri" w:cs="Calibri"/>
          <w:sz w:val="22"/>
          <w:szCs w:val="22"/>
          <w:i/>
          <w:iCs/>
        </w:rPr>
        <w:t xml:space="preserve">Зарегистрировано в Минюсте России 14.06.2012 № 24573</w:t>
      </w:r>
      <w:r>
        <w:rPr>
          <w:rFonts w:ascii="Calibri" w:hAnsi="Calibri" w:cs="Calibri"/>
          <w:sz w:val="22"/>
          <w:szCs w:val="22"/>
        </w:rPr>
        <w:t xml:space="preserve"> </w:t>
      </w:r>
    </w:p>
    <w:p>
      <w:pPr>
        <w:jc w:val="both"/>
        <w:spacing w:before="5" w:after="5"/>
      </w:pPr>
      <w:r>
        <w:rPr>
          <w:rFonts w:ascii="Calibri" w:hAnsi="Calibri" w:cs="Calibri"/>
          <w:sz w:val="22"/>
          <w:szCs w:val="22"/>
        </w:rPr>
        <w:t xml:space="preserve"> 1. На основании Федерального закона от 27 июня 2011 года № 161-ФЗ "О национальной платежной системе" (Собрание законодательства Российской Федерации, 2011, № 27, ст. 3872) (далее - Федеральный закон № 161-ФЗ) и решения Совета директоров Банка России (протокол заседания Совета директоров Банка России от 31 мая 2012 года № 10) настоящее Указание устанавливает формы отчетности по обеспечению защиты информации при осуществлении переводов денежных средств операторов платежных систем, операторов услуг платежной инфраструктуры, операторов по переводу денежных средств (далее - отчетность), сроки предоставления отчетности и методики составления отчетности. </w:t>
      </w:r>
    </w:p>
    <w:p>
      <w:pPr>
        <w:jc w:val="both"/>
        <w:spacing w:before="5" w:after="5"/>
      </w:pPr>
      <w:r>
        <w:rPr>
          <w:rFonts w:ascii="Calibri" w:hAnsi="Calibri" w:cs="Calibri"/>
          <w:sz w:val="22"/>
          <w:szCs w:val="22"/>
        </w:rPr>
        <w:t xml:space="preserve"> Формы, сроки представления и методики составления отчетности по обеспечению защиты информации при осуществлении переводов денежных средств Банком России устанавливаются нормативным актом Банка России, определяющим перечень, формы, правила и порядок составления и представления отчетности структурными подразделениями Банка России в Центральный банк Российской Федерации. </w:t>
      </w:r>
    </w:p>
    <w:p>
      <w:pPr>
        <w:jc w:val="both"/>
        <w:spacing w:before="5" w:after="5"/>
      </w:pPr>
      <w:r>
        <w:rPr>
          <w:rFonts w:ascii="Calibri" w:hAnsi="Calibri" w:cs="Calibri"/>
          <w:sz w:val="22"/>
          <w:szCs w:val="22"/>
        </w:rPr>
        <w:t xml:space="preserve"> 2. Отчетность по форме 0403202 «Сведения о выполнении операторами платежных систем, операторами услуг платежной инфраструктуры, операторами по переводу денежных средств требований к обеспечению защиты информации при осуществлении переводов денежных средств» предоставляется операторами платежных систем, операторами услуг платежной инфраструктуры, операторами по переводу денежных средств не позднее тридцати рабочих дней со дня завершения проведения оценки выполнения оператором платежных систем, оператором услуг платежной инфраструктуры, оператором по переводу денежных средств требований к обеспечению защиты информации при осуществлении переводов денежных средств, установленных Положением Банка России от 9 июня 2012 года № 382-П «О требованиях к обеспечению защиты информации при осуществлении переводов денежных средств и о порядке осуществления Банком России контроля за соблюдением требований к обеспечению защиты информации при осуществлении переводов денежных средств»</w:t>
      </w:r>
      <w:hyperlink r:id="rId7" w:history="1">
        <w:r>
          <w:rPr>
            <w:rFonts w:ascii="Calibri" w:hAnsi="Calibri" w:cs="Calibri"/>
            <w:color w:val="0000FF"/>
            <w:sz w:val="12"/>
            <w:szCs w:val="12"/>
            <w:u w:val="single"/>
          </w:rPr>
          <w:t xml:space="preserve">1)</w:t>
        </w:r>
      </w:hyperlink>
      <w:r>
        <w:rPr>
          <w:rFonts w:ascii="Calibri" w:hAnsi="Calibri" w:cs="Calibri"/>
          <w:sz w:val="22"/>
          <w:szCs w:val="22"/>
        </w:rPr>
        <w:t xml:space="preserve"> (далее - Положение Банка России № 382-П) (далее - оценка соответствия). </w:t>
      </w:r>
    </w:p>
    <w:p>
      <w:pPr>
        <w:jc w:val="both"/>
        <w:spacing w:before="5" w:after="5"/>
      </w:pPr>
      <w:r>
        <w:rPr>
          <w:rFonts w:ascii="Calibri" w:hAnsi="Calibri" w:cs="Calibri"/>
          <w:sz w:val="22"/>
          <w:szCs w:val="22"/>
        </w:rPr>
        <w:t xml:space="preserve"> 3. Отчетность по форме 0403203 «Сведения о выявлении инцидентов, связанных с нарушением требований к обеспечению защиты информации при осуществлении переводов денежных средств» предоставляется:</w:t>
      </w:r>
    </w:p>
    <w:p>
      <w:r>
        <w:rPr>
          <w:rFonts w:ascii="Calibri" w:hAnsi="Calibri" w:cs="Calibri"/>
          <w:sz w:val="22"/>
          <w:szCs w:val="22"/>
        </w:rPr>
        <w:t xml:space="preserve"> операторами услуг платежной инфраструктуры, операторами по переводу денежных средств, за исключением небанковских кредитных организаций, имеющих право на осуществление переводов денежных средств без открытия банковских счетов и связанных с ними иных банковских операций, - ежемесячно, не позднее десятого рабочего дня месяца, следующего за отчетным;</w:t>
      </w:r>
    </w:p>
    <w:p>
      <w:r>
        <w:rPr>
          <w:rFonts w:ascii="Calibri" w:hAnsi="Calibri" w:cs="Calibri"/>
          <w:sz w:val="22"/>
          <w:szCs w:val="22"/>
        </w:rPr>
        <w:t xml:space="preserve"> операторами услуг платежной инфраструктуры, операторами по переводу денежных средств, являющимися небанковскими кредитными организациями, имеющими право на осуществление переводов денежных средств без открытия банковских счетов и связанных с ними иных банковских операций, у которых средний за полгода объем обязательств перед клиентами по переводу денежных средств без открытия банковских счетов в течение месяца превышает 2 миллиарда рублей, - ежеквартально, не позднее десятого рабочего дня месяца, следующего за отчетным кварталом;</w:t>
      </w:r>
    </w:p>
    <w:p>
      <w:r>
        <w:rPr>
          <w:rFonts w:ascii="Calibri" w:hAnsi="Calibri" w:cs="Calibri"/>
          <w:sz w:val="22"/>
          <w:szCs w:val="22"/>
        </w:rPr>
        <w:t xml:space="preserve"> операторами услуг платежной инфраструктуры, операторами по переводу денежных средств, являющимися небанковскими кредитными организациями, имеющими право на осуществление переводов денежных средств без открытия банковских счетов и связанных с ними иных банковских операций, у которых средний за полгода объем обязательств перед клиентами по переводу денежных средств без открытия банковских счетов в течение месяца не превышает 2 миллиарда рублей, - раз в полгода, не позднее десятого рабочего дня месяца, следующего за отчетным периодом;</w:t>
      </w:r>
    </w:p>
    <w:p>
      <w:r>
        <w:rPr>
          <w:rFonts w:ascii="Calibri" w:hAnsi="Calibri" w:cs="Calibri"/>
          <w:sz w:val="22"/>
          <w:szCs w:val="22"/>
        </w:rPr>
        <w:t xml:space="preserve"> операторами услуг платежной инфраструктуры, операторами по переводу денежных средств по требованию Банка России - не позднее десяти рабочих дней со дня получения письменного требования Банка России. </w:t>
      </w:r>
    </w:p>
    <w:p>
      <w:pPr>
        <w:jc w:val="both"/>
        <w:spacing w:before="5" w:after="5"/>
      </w:pPr>
      <w:r>
        <w:rPr>
          <w:rFonts w:ascii="Calibri" w:hAnsi="Calibri" w:cs="Calibri"/>
          <w:sz w:val="22"/>
          <w:szCs w:val="22"/>
        </w:rPr>
        <w:t xml:space="preserve"> Оператор платежной системы, привлекающий операционный центр, находящийся за пределами Российской Федерации, для оказания операционных услуг участникам платежной системы, на основе информации, полученной от данного операционного центра в соответствии с абзацем седьмым подпункта 2.16.2 пункта 2.16 Положения Банка России № 382-П, составляет отчетность по форме 0403203 «Сведения о выявлении инцидентов, связанных с нарушением требований к обеспечению защиты информации при осуществлении переводов денежных средств» и представляет данную отчетность ежемесячно, не позднее десятого рабочего дня месяца, следующего за отчетным, а также по требованию Банка России - не позднее десяти рабочих дней со дня получения письменного требования Банка России. </w:t>
      </w:r>
    </w:p>
    <w:p>
      <w:pPr>
        <w:jc w:val="both"/>
        <w:spacing w:before="5" w:after="5"/>
      </w:pPr>
      <w:r>
        <w:rPr>
          <w:rFonts w:ascii="Calibri" w:hAnsi="Calibri" w:cs="Calibri"/>
          <w:sz w:val="22"/>
          <w:szCs w:val="22"/>
        </w:rPr>
        <w:t xml:space="preserve"> 4. Форма и методика составления операторами платежных систем, операторами услуг платежной инфраструктуры, операторами по переводу денежных средств отчетности по форме 0403202 «Сведения о выполнении операторами платежных систем, операторами услуг платежной инфраструктуры, операторами по переводу денежных средств требований к обеспечению защиты информации при осуществлении переводов денежных средств» приведены в приложении 1 к настоящему Указанию. </w:t>
      </w:r>
    </w:p>
    <w:p>
      <w:pPr>
        <w:jc w:val="both"/>
        <w:spacing w:before="5" w:after="5"/>
      </w:pPr>
      <w:r>
        <w:rPr>
          <w:rFonts w:ascii="Calibri" w:hAnsi="Calibri" w:cs="Calibri"/>
          <w:sz w:val="22"/>
          <w:szCs w:val="22"/>
        </w:rPr>
        <w:t xml:space="preserve"> 5. Форма и методика составления операторами услуг платежной инфраструктуры, операторами по переводу денежных средств, операторами платежных систем, привлекающими операционные центры, находящиеся за пределами Российской Федерации, для оказания операционных услуг участникам платежной системы отчетности по форме 0403203 «Сведения о выявлении инцидентов, связанных с нарушением требований к обеспечению защиты информации при осуществлении переводов денежных средств» приведены в приложении 2 к настоящему Указанию. </w:t>
      </w:r>
    </w:p>
    <w:p>
      <w:pPr>
        <w:jc w:val="both"/>
        <w:spacing w:before="5" w:after="5"/>
      </w:pPr>
      <w:r>
        <w:rPr>
          <w:rFonts w:ascii="Calibri" w:hAnsi="Calibri" w:cs="Calibri"/>
          <w:sz w:val="22"/>
          <w:szCs w:val="22"/>
        </w:rPr>
        <w:t xml:space="preserve"> 6. Настоящее Указание подлежит официальному опубликованию в «Вестнике Банка России» и вступает в силу с 1 июля 2012 года. </w:t>
      </w:r>
    </w:p>
    <w:p>
      <w:pPr>
        <w:jc w:val="both"/>
        <w:spacing w:before="5" w:after="5"/>
      </w:pPr>
      <w:r>
        <w:rPr>
          <w:rFonts w:ascii="Calibri" w:hAnsi="Calibri" w:cs="Calibri"/>
          <w:sz w:val="22"/>
          <w:szCs w:val="22"/>
        </w:rPr>
        <w:t xml:space="preserve"> Председатель Центрального банка</w:t>
      </w:r>
    </w:p>
    <w:p>
      <w:r>
        <w:rPr>
          <w:rFonts w:ascii="Calibri" w:hAnsi="Calibri" w:cs="Calibri"/>
          <w:sz w:val="22"/>
          <w:szCs w:val="22"/>
        </w:rPr>
        <w:t xml:space="preserve"> Российской Федерации</w:t>
      </w:r>
    </w:p>
    <w:p>
      <w:r>
        <w:rPr>
          <w:rFonts w:ascii="Calibri" w:hAnsi="Calibri" w:cs="Calibri"/>
          <w:sz w:val="22"/>
          <w:szCs w:val="22"/>
        </w:rPr>
        <w:t xml:space="preserve"> С. М. Игнатьев </w:t>
      </w:r>
    </w:p>
    <w:p>
      <w:pPr>
        <w:jc w:val="left"/>
        <w:spacing w:before="150" w:after="5"/>
      </w:pPr>
      <w:r>
        <w:rPr>
          <w:rFonts w:ascii="Calibri" w:hAnsi="Calibri" w:cs="Calibri"/>
          <w:sz w:val="28"/>
          <w:szCs w:val="28"/>
          <w:b/>
        </w:rPr>
        <w:t xml:space="preserve">Приложение 1 к Указанию Банка России от 9 июня 2012 г. № 2831-У "Об отчетности по обеспечению защиты информации при осуществлении переводов денежных средств операторов платежных систем, операторов услуг платежной инфраструктуры, операторов по переводу ден</w:t>
      </w:r>
    </w:p>
    <w:p>
      <w:pPr>
        <w:jc w:val="both"/>
        <w:spacing w:before="5" w:after="5"/>
      </w:pPr>
      <w:r>
        <w:rPr>
          <w:rFonts w:ascii="Calibri" w:hAnsi="Calibri" w:cs="Calibri"/>
          <w:sz w:val="22"/>
          <w:szCs w:val="22"/>
        </w:rPr>
        <w:t xml:space="preserve"> </w:t>
      </w:r>
      <w:hyperlink r:id="rId8" w:history="1">
        <w:r>
          <w:rPr>
            <w:rFonts w:ascii="Calibri" w:hAnsi="Calibri" w:cs="Calibri"/>
            <w:color w:val="0000FF"/>
            <w:sz w:val="22"/>
            <w:szCs w:val="22"/>
            <w:u w:val="single"/>
          </w:rPr>
          <w:t xml:space="preserve">Форма "Сведения о выполнении операторами платежных систем, операторами услуг платежной инфраструктуры, операторами по переводу денежных средств требований к обеспечению защиты информации при осуществлении переводов денежных средств" и методика составления отчётности</w:t>
        </w:r>
      </w:hyperlink>
      <w:r>
        <w:rPr>
          <w:rFonts w:ascii="Calibri" w:hAnsi="Calibri" w:cs="Calibri"/>
          <w:sz w:val="22"/>
          <w:szCs w:val="22"/>
        </w:rPr>
        <w:t xml:space="preserve"> </w:t>
      </w:r>
    </w:p>
    <w:p>
      <w:pPr>
        <w:jc w:val="left"/>
        <w:spacing w:before="150" w:after="5"/>
      </w:pPr>
      <w:r>
        <w:rPr>
          <w:rFonts w:ascii="Calibri" w:hAnsi="Calibri" w:cs="Calibri"/>
          <w:sz w:val="28"/>
          <w:szCs w:val="28"/>
          <w:b/>
        </w:rPr>
        <w:t xml:space="preserve">Приложение 2 к Указанию Банка России от 9 июня 2012 г. № 2831-У "Об отчетности по обеспечению защиты информации при осуществлении переводов денежных средств операторов платежных систем, операторов услуг платежной инфраструктуры, операторов по переводу ден</w:t>
      </w:r>
    </w:p>
    <w:p>
      <w:pPr>
        <w:jc w:val="both"/>
        <w:spacing w:before="5" w:after="5"/>
      </w:pPr>
      <w:r>
        <w:rPr>
          <w:rFonts w:ascii="Calibri" w:hAnsi="Calibri" w:cs="Calibri"/>
          <w:sz w:val="22"/>
          <w:szCs w:val="22"/>
        </w:rPr>
        <w:t xml:space="preserve"> </w:t>
      </w:r>
      <w:hyperlink r:id="rId9" w:history="1">
        <w:r>
          <w:rPr>
            <w:rFonts w:ascii="Calibri" w:hAnsi="Calibri" w:cs="Calibri"/>
            <w:color w:val="0000FF"/>
            <w:sz w:val="22"/>
            <w:szCs w:val="22"/>
            <w:u w:val="single"/>
          </w:rPr>
          <w:t xml:space="preserve">Форма "Сведения о выявлении инцидентов, связанных с нарушением требований к обеспечению защиты информации при осуществлении переводов денежных средств" и методика составления отчётности</w:t>
        </w:r>
      </w:hyperlink>
      <w:r>
        <w:rPr>
          <w:rFonts w:ascii="Calibri" w:hAnsi="Calibri" w:cs="Calibri"/>
          <w:sz w:val="22"/>
          <w:szCs w:val="22"/>
        </w:rPr>
        <w:t xml:space="preserve"> </w:t>
      </w:r>
    </w:p>
    <w:p>
      <w:pPr>
        <w:jc w:val="both"/>
        <w:spacing w:before="0" w:after="0"/>
      </w:pPr>
      <w:r>
        <w:rPr>
          <w:rFonts w:ascii="Calibri" w:hAnsi="Calibri" w:cs="Calibri"/>
          <w:sz w:val="22"/>
          <w:szCs w:val="22"/>
        </w:rPr>
        <w:t xml:space="preserve"> </w:t>
      </w:r>
      <w:hyperlink r:id="rId10" w:history="1">
        <w:r>
          <w:rPr>
            <w:rFonts w:ascii="Calibri" w:hAnsi="Calibri" w:cs="Calibri"/>
            <w:color w:val="0000FF"/>
            <w:sz w:val="12"/>
            <w:szCs w:val="12"/>
            <w:u w:val="single"/>
          </w:rPr>
          <w:t xml:space="preserve">1)</w:t>
        </w:r>
      </w:hyperlink>
      <w:r>
        <w:rPr>
          <w:rFonts w:ascii="Calibri" w:hAnsi="Calibri" w:cs="Calibri"/>
          <w:sz w:val="22"/>
          <w:szCs w:val="22"/>
        </w:rPr>
        <w:t xml:space="preserve"> Справочно: зарегистрировано Министерством юстиции Российской Федерации 14 июня 2012 года № 24575 («Вестник Банка России» от 22 июня 2012 года № 32).</w:t>
      </w:r>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yperlink" Target="http://localhost/cron/html2docx/#fn__1" TargetMode="External"/>
  <Relationship Id="rId8" Type="http://schemas.openxmlformats.org/officeDocument/2006/relationships/hyperlink" Target="http://localhost/upload/parse_txt_to_site/cb2831-u_09.06.2012/cb2831-u_09.06.2012_pril1.pdf" TargetMode="External"/>
  <Relationship Id="rId9" Type="http://schemas.openxmlformats.org/officeDocument/2006/relationships/hyperlink" Target="http://localhost/upload/parse_txt_to_site/cb2831-u_09.06.2012/cb2831-u_09.06.2012_pril2.pdf" TargetMode="External"/>
  <Relationship Id="rId10" Type="http://schemas.openxmlformats.org/officeDocument/2006/relationships/hyperlink" Target="http://localhost/cron/html2docx/#fnt__1"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2018-09-26T23:53:01+03:00</dcterms:created>
  <dcterms:modified xsi:type="dcterms:W3CDTF">2018-09-26T23:53:01+03:00</dcterms:modified>
  <dc:title/>
  <dc:description/>
  <dc:subject/>
  <cp:keywords/>
  <cp:category/>
</cp:coreProperties>
</file>