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"Положение о деятельности по проведению организованных торгов" (утв. Банком России 17.10.2014 № 437-П)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30.12.2014 № 35494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Глава 4. Требования к порядку хранения и защиты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Организатор торговли утверждает внутренний документ, устанавливающий требования к порядку хранения и защиты информации и документов, связанных с проведением организованных торгов, а также к сроку их хранения, с учетом следующих положений.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4.1.1. Организатор торговли принимает меры по защите информации по следующим направлениям: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при управлении доступом и регистрацией;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на этапах жизненного цикла автоматизированных систем;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средствами антивирусной защиты;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при использовании ресурсов информационно-телекоммуникационной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с использованием средств криптографической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обеспечение защиты информации при назначении и распределении ролей;</w:t>
      </w:r>
    </w:p>
    <w:p>
      <w:r>
        <w:rPr>
          <w:rFonts w:ascii="Calibri" w:hAnsi="Calibri" w:cs="Calibri"/>
          <w:sz w:val="22"/>
          <w:szCs w:val="22"/>
        </w:rPr>
        <w:t xml:space="preserve"> организация деятельности службы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управление рисками нарушения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регламентация и документирование деятельности по обеспечению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повышение осведомленности работников в области обеспечения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обнаружение инцидентов информационной безопасности и реагирование на них;</w:t>
      </w:r>
    </w:p>
    <w:p>
      <w:r>
        <w:rPr>
          <w:rFonts w:ascii="Calibri" w:hAnsi="Calibri" w:cs="Calibri"/>
          <w:sz w:val="22"/>
          <w:szCs w:val="22"/>
        </w:rPr>
        <w:t xml:space="preserve"> мониторинг и анализ обеспечения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своевременное совершенствование обеспечения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4.1.2. Организатор торговли устанавливает перечень лиц, имеющих доступ к информации и сведениям.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4.1.3. Организатор торговли предусматривает меры, направленные на защиту баз данных от ошибок и несанкционированного доступа, в том числе:</w:t>
      </w:r>
    </w:p>
    <w:p>
      <w:r>
        <w:rPr>
          <w:rFonts w:ascii="Calibri" w:hAnsi="Calibri" w:cs="Calibri"/>
          <w:sz w:val="22"/>
          <w:szCs w:val="22"/>
        </w:rPr>
        <w:t xml:space="preserve"> определяет порядок доступа к базам данных и обеспечивает защиту от несанкционированного доступа к базам данных;</w:t>
      </w:r>
    </w:p>
    <w:p>
      <w:r>
        <w:rPr>
          <w:rFonts w:ascii="Calibri" w:hAnsi="Calibri" w:cs="Calibri"/>
          <w:sz w:val="22"/>
          <w:szCs w:val="22"/>
        </w:rPr>
        <w:t xml:space="preserve"> определяет порядок использования паролей и других средств, ограничивающих доступ к базам данных;</w:t>
      </w:r>
    </w:p>
    <w:p>
      <w:r>
        <w:rPr>
          <w:rFonts w:ascii="Calibri" w:hAnsi="Calibri" w:cs="Calibri"/>
          <w:sz w:val="22"/>
          <w:szCs w:val="22"/>
        </w:rPr>
        <w:t xml:space="preserve"> устанавливает принимаемые организатором торговли и участниками торгов меры, направленные на предотвращение сбоев и ошибок в работе средств проведения торгов;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ежедневное резервное копирование информации, содержащейся в реестрах, которые ведет организатор торговли.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Биржа обязана обеспечить хранение и защиту всей информации о внебиржевых договорах купли-продажи товаров и ценных бумаг, предоставленной ей в соответствии с нормативными правовыми актами Правительства Российской Федерации и нормативными актами Банка России, устанавливающими обязанность по предоставлению указанной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Если иной срок хранения соответствующей информации не установлен федеральными законами и принятыми в соответствии с ними нормативными актами, организатор торговли хранит информацию и документы, связанные с осуществлением им деятельности по проведению организованных торгов в течение пяти лет.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2018-09-27T00:08:01+03:00</dcterms:created>
  <dcterms:modified xsi:type="dcterms:W3CDTF">2018-09-27T00:08:01+03:00</dcterms:modified>
  <dc:title/>
  <dc:description/>
  <dc:subject/>
  <cp:keywords/>
  <cp:category/>
</cp:coreProperties>
</file>