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sz w:val="45"/>
          <w:szCs w:val="45"/>
          <w:b w:val="1"/>
          <w:bCs w:val="1"/>
        </w:rPr>
        <w:t xml:space="preserve">Приказ ФСБ России от 24 июля 2018 г. № 367 “Об утверждении Перечня информации, представляемой в государственную систему обнаружения, предупреждения и ликвидации последствий компьютерных атак на информационные ресурсы Российской Федерации и Порядка представления информации в государственную систему обнаружения, предупреждения и ликвидации последствий компьютерных атак на информационные ресурсы Российской Федерации”</w:t>
      </w:r>
    </w:p>
    <w:p/>
    <w:p>
      <w:pPr>
        <w:spacing w:before="0" w:after="0" w:line="240" w:lineRule="exact"/>
      </w:pPr>
      <w:r>
        <w:rPr/>
        <w:t xml:space="preserve">В соответствиис пунктом 5 части 4 статьи 6 Федерального закона от 26 июля 2017 г. № 187-ФЗ “О безопасности критической информационной инфраструктуры Российской Федерации” приказываю утвердить:</w:t>
      </w:r>
    </w:p>
    <w:p>
      <w:pPr>
        <w:spacing w:before="0" w:after="0" w:line="240" w:lineRule="exact"/>
      </w:pPr>
      <w:r>
        <w:rPr/>
        <w:t xml:space="preserve">Перечень информации, представляемой в государственную систему обнаружения, предупреждения и ликвидации последствий компьютерных атак на информационные ресурсы Российской Федерации (приложение № 1);</w:t>
      </w:r>
    </w:p>
    <w:p>
      <w:pPr>
        <w:spacing w:before="0" w:after="0" w:line="240" w:lineRule="exact"/>
      </w:pPr>
      <w:r>
        <w:rPr/>
        <w:t xml:space="preserve">Порядок представления информации в государственную систему обнаружения, предупреждения и ликвидации последствий компьютерных атак на информационные ресурсы Российской Федерации (приложение № 2).</w:t>
      </w:r>
    </w:p>
    <w:p>
      <w:pPr>
        <w:spacing w:before="0" w:after="0" w:line="240" w:lineRule="exact"/>
      </w:pPr>
      <w:r>
        <w:rPr/>
        <w:t xml:space="preserve">Директор</w:t>
      </w:r>
    </w:p>
    <w:p>
      <w:pPr>
        <w:spacing w:before="0" w:after="0" w:line="240" w:lineRule="exact"/>
      </w:pPr>
      <w:r>
        <w:rPr/>
        <w:t xml:space="preserve">А. БОРТНИКОВ</w:t>
      </w:r>
    </w:p>
    <w:p/>
    <w:p>
      <w:pPr>
        <w:spacing w:before="0" w:after="0" w:line="240" w:lineRule="exact"/>
      </w:pPr>
      <w:r>
        <w:rPr/>
        <w:t xml:space="preserve">----------–</w:t>
      </w:r>
      <w:br/>
      <w:r>
        <w:rPr>
          <w:i w:val="1"/>
          <w:iCs w:val="1"/>
        </w:rPr>
        <w:t xml:space="preserve"> Собрание законодательства Российской Федерации, 2017, № 31 (ч. I), ст. 4736.</w:t>
      </w:r>
      <w:br/>
    </w:p>
    <w:p>
      <w:pPr>
        <w:spacing w:before="0" w:after="0" w:line="240" w:lineRule="exact"/>
      </w:pPr>
      <w:r>
        <w:rPr/>
        <w:t xml:space="preserve">Приложение № 1</w:t>
      </w:r>
    </w:p>
    <w:p>
      <w:pPr>
        <w:spacing w:before="0" w:after="0" w:line="240" w:lineRule="exact"/>
      </w:pPr>
      <w:r>
        <w:rPr/>
        <w:t xml:space="preserve">к </w:t>
      </w:r>
      <w:r>
        <w:rPr/>
        <w:t xml:space="preserve">приказу</w:t>
      </w:r>
      <w:r>
        <w:rPr/>
        <w:t xml:space="preserve"> ФСБ РФ</w:t>
      </w:r>
    </w:p>
    <w:p>
      <w:pPr>
        <w:spacing w:before="0" w:after="0" w:line="240" w:lineRule="exact"/>
      </w:pPr>
      <w:r>
        <w:rPr/>
        <w:t xml:space="preserve">от 24 июля 2018 г. N 367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ПЕРЕЧЕНЬ информации, представляемой в государственную систему обнаружения, предупреждения и ликвидации последствий компьютерных атак на информационные ресурсы Российской Федерации</w:t>
      </w:r>
    </w:p>
    <w:p/>
    <w:p>
      <w:pPr>
        <w:spacing w:before="0" w:after="0" w:line="240" w:lineRule="exact"/>
      </w:pPr>
      <w:r>
        <w:rPr/>
        <w:t xml:space="preserve">1. Информация, содержащаяся в реестре значимых объектов критической информационной инфраструктуры Российской Федерации (далее - критическая информационная инфраструктура).</w:t>
      </w:r>
    </w:p>
    <w:p>
      <w:pPr>
        <w:spacing w:before="0" w:after="0" w:line="240" w:lineRule="exact"/>
      </w:pPr>
      <w:r>
        <w:rPr/>
        <w:t xml:space="preserve">2. Информация об отсутствии необходимости присвоения объекту критической информационной инфраструктуры одной из категорий значимости.</w:t>
      </w:r>
    </w:p>
    <w:p>
      <w:pPr>
        <w:spacing w:before="0" w:after="0" w:line="240" w:lineRule="exact"/>
      </w:pPr>
      <w:r>
        <w:rPr/>
        <w:t xml:space="preserve">3. Информация об исключении объекта критической информационной инфраструктуры из реестра значимых объектов критической информационной инфраструктуры, а также об изменении категории его значимости.</w:t>
      </w:r>
    </w:p>
    <w:p>
      <w:pPr>
        <w:spacing w:before="0" w:after="0" w:line="240" w:lineRule="exact"/>
      </w:pPr>
      <w:r>
        <w:rPr/>
        <w:t xml:space="preserve">4. Информация по итогам проведения государственного контроля в области обеспечения безопасности значимых объектов критической информационной инфраструктуры о нарушении требований по обеспечению безопасности значимых объектов критической информационной инфраструктуры, в результате которого создаются предпосылки возникновения компьютерных инцидентов.</w:t>
      </w:r>
    </w:p>
    <w:p>
      <w:pPr>
        <w:spacing w:before="0" w:after="0" w:line="240" w:lineRule="exact"/>
      </w:pPr>
      <w:r>
        <w:rPr/>
        <w:t xml:space="preserve">5. Информация о компьютерных инцидентах, связанных с функционированием объектов критической информационной инфраструктуры:</w:t>
      </w:r>
    </w:p>
    <w:p>
      <w:pPr>
        <w:spacing w:before="0" w:after="0" w:line="240" w:lineRule="exact"/>
      </w:pPr>
      <w:r>
        <w:rPr/>
        <w:t xml:space="preserve">дата, время, место нахождения или географическое местоположение объекта критической информационной инфраструктуры, на котором произошел компьютерный инцидент;</w:t>
      </w:r>
    </w:p>
    <w:p>
      <w:pPr>
        <w:spacing w:before="0" w:after="0" w:line="240" w:lineRule="exact"/>
      </w:pPr>
      <w:r>
        <w:rPr/>
        <w:t xml:space="preserve">наличие причинно-следственной связи между компьютерным инцидентом и компьютерной атакой;</w:t>
      </w:r>
    </w:p>
    <w:p>
      <w:pPr>
        <w:spacing w:before="0" w:after="0" w:line="240" w:lineRule="exact"/>
      </w:pPr>
      <w:r>
        <w:rPr/>
        <w:t xml:space="preserve">связь с другими компьютерными инцидентами (при наличии);</w:t>
      </w:r>
    </w:p>
    <w:p>
      <w:pPr>
        <w:spacing w:before="0" w:after="0" w:line="240" w:lineRule="exact"/>
      </w:pPr>
      <w:r>
        <w:rPr/>
        <w:t xml:space="preserve">состав технических параметров компьютерного инцидента;</w:t>
      </w:r>
    </w:p>
    <w:p>
      <w:pPr>
        <w:spacing w:before="0" w:after="0" w:line="240" w:lineRule="exact"/>
      </w:pPr>
      <w:r>
        <w:rPr/>
        <w:t xml:space="preserve">последствия компьютерного инцидента.</w:t>
      </w:r>
    </w:p>
    <w:p>
      <w:pPr>
        <w:spacing w:before="0" w:after="0" w:line="240" w:lineRule="exact"/>
      </w:pPr>
      <w:r>
        <w:rPr/>
        <w:t xml:space="preserve">6. Иная информация в области обнаружения, предупреждения и ликвидации последствий компьютерных атак и реагирования на компьютерные инциденты, предоставляемая субъектами критической информационной инфраструктуры и иными не являющимися субъектами критической информационной инфраструктуры органами и организациями, в том числе иностранными и международными.</w:t>
      </w:r>
    </w:p>
    <w:p>
      <w:pPr>
        <w:spacing w:before="0" w:after="0" w:line="240" w:lineRule="exact"/>
      </w:pPr>
      <w:r>
        <w:rPr/>
        <w:t xml:space="preserve">Приложение № 2</w:t>
      </w:r>
    </w:p>
    <w:p>
      <w:pPr>
        <w:spacing w:before="0" w:after="0" w:line="240" w:lineRule="exact"/>
      </w:pPr>
      <w:r>
        <w:rPr/>
        <w:t xml:space="preserve">к </w:t>
      </w:r>
      <w:r>
        <w:rPr/>
        <w:t xml:space="preserve">приказу</w:t>
      </w:r>
      <w:r>
        <w:rPr/>
        <w:t xml:space="preserve"> ФСБ РФ</w:t>
      </w:r>
    </w:p>
    <w:p>
      <w:pPr>
        <w:spacing w:before="0" w:after="0" w:line="240" w:lineRule="exact"/>
      </w:pPr>
      <w:r>
        <w:rPr/>
        <w:t xml:space="preserve">от 24 июля 2018 г. N 367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ПОРЯДОК представления информации в государственную систему обнаружения, предупреждения и ликвидации последствий компьютерных атак на информационные ресурсы Российской Федерации</w:t>
      </w:r>
    </w:p>
    <w:p/>
    <w:p>
      <w:pPr>
        <w:spacing w:before="0" w:after="0" w:line="240" w:lineRule="exact"/>
      </w:pPr>
      <w:r>
        <w:rPr/>
        <w:t xml:space="preserve">1. Информация, указанная в пунктах 1 - 4 Перечня информации, представляемой в государственную систему обнаружения, предупреждения и ликвидации последствий компьютерных атак на информационные ресурсы Российской Федерации, утвержденного приказом ФСБ России от 24 июля 2018 г. № 367 (далее - Перечень), представляется в государственную систему обнаружения, предупреждения и ликвидации последствий компьютерных атак на информационные ресурсы Российской Федерации (далее - ГосСОПКА)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 (далее - уполномоченный орган), путем ее направления в Национальный координационный центр по компьютерным инцидентам (далее - НКЦКИ) не реже раза в месяц и не позднее месячного срока с момента:</w:t>
      </w:r>
    </w:p>
    <w:p>
      <w:pPr>
        <w:spacing w:before="0" w:after="0" w:line="240" w:lineRule="exact"/>
      </w:pPr>
      <w:r>
        <w:rPr/>
        <w:t xml:space="preserve">включения объекта критической информационной инфраструктуры Российской Федерации (далее - критическая информационная инфраструктура) в реестр значимых объектов критической информационной инфраструктуры;</w:t>
      </w:r>
    </w:p>
    <w:p>
      <w:pPr>
        <w:spacing w:before="0" w:after="0" w:line="240" w:lineRule="exact"/>
      </w:pPr>
      <w:r>
        <w:rPr/>
        <w:t xml:space="preserve">изменения категории значимости, присвоенной значимому объекту критической информационной инфраструктуры;</w:t>
      </w:r>
    </w:p>
    <w:p>
      <w:pPr>
        <w:spacing w:before="0" w:after="0" w:line="240" w:lineRule="exact"/>
      </w:pPr>
      <w:r>
        <w:rPr/>
        <w:t xml:space="preserve">получения информации об отсутствии необходимости присвоения объекту критической информационной инфраструктуры одной из категорий значимости;</w:t>
      </w:r>
    </w:p>
    <w:p>
      <w:pPr>
        <w:spacing w:before="0" w:after="0" w:line="240" w:lineRule="exact"/>
      </w:pPr>
      <w:r>
        <w:rPr/>
        <w:t xml:space="preserve">исключения объекта критической информационной инфраструктуры из реестра значимых объектов критической информационной инфраструктуры;</w:t>
      </w:r>
    </w:p>
    <w:p>
      <w:pPr>
        <w:spacing w:before="0" w:after="0" w:line="240" w:lineRule="exact"/>
      </w:pPr>
      <w:r>
        <w:rPr/>
        <w:t xml:space="preserve">составления акта проверки по итогам осуществления государственного контроля в области обеспечения безопасности значимых объектов критической информационной инфраструктуры, в котором содержится информация о нарушении требований по обеспечению безопасности значимых объектов критической информационной инфраструктуры, в результате которого создаются предпосылки возникновения компьютерных инцидентов.</w:t>
      </w:r>
    </w:p>
    <w:p>
      <w:pPr>
        <w:spacing w:before="0" w:after="0" w:line="240" w:lineRule="exact"/>
      </w:pPr>
      <w:r>
        <w:rPr/>
        <w:t xml:space="preserve">2. Информация, указанная в пунктах 1 - 4 Перечня, направляется уполномоченным органом в НКЦКИ в форматах, определенных уполномоченным органом.</w:t>
      </w:r>
    </w:p>
    <w:p>
      <w:pPr>
        <w:spacing w:before="0" w:after="0" w:line="240" w:lineRule="exact"/>
      </w:pPr>
      <w:r>
        <w:rPr/>
        <w:t xml:space="preserve">3. Информация, указанная в пункте 5 Перечня, представляется субъектами критической информационной инфраструктуры в ГосСОПКА путем ее направления в НКЦКИ в соответствии с определенными НКЦКИ форматами с использованием технической инфраструктуры НКЦКИ, предназначенной для отправки, получения, обработки и хранения уведомлений и запросов в рамках информационного взаимодействия с субъектами критической информационной инфраструктуры, а также с иными не являющимися субъектами критической информационной инфраструктуры органами и организациями, в том числе иностранными и международными (далее - техническая инфраструктура НКЦКИ).</w:t>
      </w:r>
    </w:p>
    <w:p>
      <w:pPr>
        <w:spacing w:before="0" w:after="0" w:line="240" w:lineRule="exact"/>
      </w:pPr>
      <w:r>
        <w:rPr/>
        <w:t xml:space="preserve">4. В случае отсутствия подключения к технической инфраструктуре НКЦКИ информация направляется посредством почтовой, факсимильной или электронной связи на адреса (телефонные номера) НКЦКИ, указанные на официальном сайте в информационно-телекоммуникационной сети “Интернет”по адресу: “http://cert.gov.ru”.</w:t>
      </w:r>
    </w:p>
    <w:p>
      <w:pPr>
        <w:spacing w:before="0" w:after="0" w:line="240" w:lineRule="exact"/>
      </w:pPr>
      <w:r>
        <w:rPr/>
        <w:t xml:space="preserve">5. Информация, указанная в пункте 5 Перечня, направляется субъектом критической информационной инфраструктуры в НКЦКИ не позднее 24 часов с момента обнаружения компьютерного инцидента.</w:t>
      </w:r>
    </w:p>
    <w:p>
      <w:pPr>
        <w:spacing w:before="0" w:after="0" w:line="240" w:lineRule="exact"/>
      </w:pPr>
      <w:r>
        <w:rPr/>
        <w:t xml:space="preserve">6. НКЦКИ уведомляет субъект критической информационной инфраструктуры о получении информации, направленной в соответствии с пунктом 5 настоящего Порядка не позднее 24 часов с момента ее получения.</w:t>
      </w:r>
    </w:p>
    <w:p>
      <w:pPr>
        <w:spacing w:before="0" w:after="0" w:line="240" w:lineRule="exact"/>
      </w:pPr>
      <w:r>
        <w:rPr/>
        <w:t xml:space="preserve">7. Информация, указанная в пункте 6 Перечня, представляется в ГосСОПКА путем ее направления в НКЦКИ посредством почтовой, факсимильной или электронной связи на адреса (телефонные номера) НКЦКИ, указанные на официальном сайте в информационно-телекоммуникационной сети “Интернет”по адресу: “http://cert.gov.ru”.</w:t>
      </w:r>
    </w:p>
    <w:p>
      <w:pPr>
        <w:spacing w:before="0" w:after="0" w:line="240" w:lineRule="exact"/>
      </w:pPr>
      <w:r>
        <w:rPr/>
        <w:t xml:space="preserve">8. При наличии подключения к технической инфраструктуре НКЦКИ информация, указанная в пункте 6 Перечня, направляется посредством использования данной инфраструктуры.</w:t>
      </w:r>
    </w:p>
    <w:p>
      <w:pPr>
        <w:spacing w:before="0" w:after="0" w:line="240" w:lineRule="exact"/>
      </w:pPr>
      <w:r>
        <w:rPr/>
        <w:t xml:space="preserve">9. Информация, указанная в пункте 6 Перечня, представляется в ГосСОПКА в сроки, достаточные для своевременного проведения мероприятий по обнаружению, предупреждению и ликвидации последствий компьютерных атак и реагированию на компьютерные инциденты.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both"/>
      <w:spacing w:line="25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2023-06-29T11:04:01+03:00</dcterms:created>
  <dcterms:modified xsi:type="dcterms:W3CDTF">2023-06-29T11:04:01+03:00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