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"Перечень контрольно-измерительного и испытательного оборудования, средств контроля защищенности, необходимых для выполнения работ и оказания услуг, установленных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79" (утв. ФСТЭК России 19.04.2017)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Утверждаю</w:t>
      </w:r>
    </w:p>
    <w:p>
      <w:r>
        <w:rPr>
          <w:rFonts w:ascii="Calibri" w:hAnsi="Calibri" w:cs="Calibri"/>
          <w:sz w:val="22"/>
          <w:szCs w:val="22"/>
        </w:rPr>
        <w:t xml:space="preserve"> Директор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В.Селин</w:t>
      </w:r>
    </w:p>
    <w:p>
      <w:r>
        <w:rPr>
          <w:rFonts w:ascii="Calibri" w:hAnsi="Calibri" w:cs="Calibri"/>
          <w:sz w:val="22"/>
          <w:szCs w:val="22"/>
        </w:rPr>
        <w:t xml:space="preserve"> 19 апреля 2017 г.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№ п/п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Наименование оборудования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Технические и (или) функциональные характеристики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Вид работ и (или) услуг</w:t>
            </w:r>
            <w:hyperlink r:id="rId7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b/>
                  <w:u w:val="single"/>
                </w:rPr>
                <w:t xml:space="preserve">1)</w:t>
              </w:r>
            </w:hyperlink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Генераторы шумовых сигналов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Вид шумового сигнала: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«белый шум» (с нормальным распределением плотности вероятности мгновенных значений);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хаотическая импульсная последовательность.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частот 175…5600 Гц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Низкочастотные генераторы сигналов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Выходное напряжение не менее 5 В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Усилители мощности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Выходная мощность не менее 10 Вт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Акустические излучатели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воспроизводимых частот 175 … 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Уровень звукового давления на расстоянии 1 м от излучателя в свободном поле не менее 95 дБ. Неравномерность АЧХ не более 6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5.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Измерители шума и вибраций (шумомеры)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Пределы измерения уровней сигналов 25…120 дБ.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Класс точности не ниже 2-го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Селективные микровольтметры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15%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г.1,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7.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приемники (анализаторы спектра)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9 кГц…1000 МГц.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2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г.1,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Селективные нановольтметры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15%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микрофоны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Чувствительность не хуже 10 мВ/Па.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Неравномерность АЧХ 1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антенны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частот: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 магнитной составляющей 9 кГц … 30 МГц;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 электрической составляющей 9 кГц … 1000 МГц.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2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Вибродатчики (акселерометры)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Чувствительность не хуже 1 мВ/мс-1.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Неравномерность АЧХ не более 10%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пробники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9 кГц…300 МГц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Полосовые октавные фильтры со среднегеометрическими частотами 250, 500, 1000, 2000, 4000 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Номинальное ослабление в полосе пропускания фильтра 0 дБ.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Класс точности 1-й или 2-й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АЧХ в соответствии с ГОСТ 17168-82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Осциллографы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0…5 МГц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15</w:t>
            </w:r>
            <w:hyperlink r:id="rId8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2)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Оптические тестеры (измерители мощности)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Длина волны калибровки, нм 850, 1310, 1550.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измерений оптической мощности дБ, от 3 до минус 10 - минус 73.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Разрешающая способность, дБ -0,1…0,001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г.2,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16</w:t>
            </w:r>
            <w:hyperlink r:id="rId9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3)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Рефлектометры (микрорефлектометры)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Длина волны калибровки, нм 850, 1310, 1550.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измерений оптической мощности дБ, от 3 до минус 26 - минус 65.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Разрешение по затуханию, дБ - 0,001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г.2,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17</w:t>
            </w:r>
            <w:hyperlink r:id="rId10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4)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автоматизированного проектирования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Автоматизация проектирования объектов информатизации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формирования и контроля полномочий доступа в информационных (автоматизированных) системах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 контроль полномочий доступа для автономных автоматизированных рабочих мест и сетей, серверов, работающих с тонкими клиентами, и компьютеров, функционирующих в распределенных сетях.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19.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поиска остаточной информации на машинных носителях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Поиск остаточной информации на машинных носителях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контроля подключения устройств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Сбор информации о подключении съемных машинных носителей информации и других устройств к средствам вычислительной техники.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контроля целостности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Расчет уникальных значений контрольных сумм. Документирование результатов расчета контрольных сумм.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(системы) контроля (анализа) защищенности информационных систем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Автоматизированная инвентаризация ресурсов информационных систем (сбор информации об узлах информационных систем и об используемом в них программном обеспечении), выявление уязвимостей (кода, конфигурации и архитектуры) в них, анализ и управление выявленными уязвимостями с учетом угроз.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в,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Замкнутые среды предварительного выполнения программ («песочницы»)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Среды безопасного выполнения программ в целях анализа их влияния на безопасность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сред. В случае невозможности оформления формуляров разработчиками (производителями) данных сред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информацией об угрозах безопасности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Автоматизированный сбор и анализ информации, поступающей из различных источников, об угрозах безопасности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средств. В случае невозможности оформления формуляров разработчиками (производителями) данных средств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25.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событиями безопасности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Автоматизированный сбор, анализ и корреляция данных о событиях безопасности информации, регистрируемых компонентами информационных систем, идентификация по заданным индикаторам типовых инцидентов информационной безопасности и их локализация.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инцидентами информационной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Автоматизированная регистрация информации об инцидентах информационной безопасности информационных систем, предоставление рекомендаций по реагированию на них, формирование и модификация шаблонов инцидентов информационной безопасности, в том числе рекомендаций по реагированию на них.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средств. В случае невозможности оформления формуляров разработчиками (производителями) данных средств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27.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защиты каналов передачи данных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Должны обеспечивать конфиденциальность и целостность данных, передаваемых по каналам связи между информационной системой, используемой для управления информационной безопасностью, и информационными системами, в отношении которых осуществляется мониторинг.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Системы защиты информации информационных систем, используемых для мониторинга информационной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Системы защиты информации информационных систем, используемых для оказания услуг по мониторингу информационной безопасности информационных систем, должны соответствовать Требованиям о защите информации, не составляющей государственную тайну, содержащейся в государственных информационных системах, утвержденным приказом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от 11 февраля 2013 г. № 17, применительно к первому классу защищенности государственных информационных систем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Утверждаю</w:t>
      </w:r>
    </w:p>
    <w:p>
      <w:r>
        <w:rPr>
          <w:rFonts w:ascii="Calibri" w:hAnsi="Calibri" w:cs="Calibri"/>
          <w:sz w:val="22"/>
          <w:szCs w:val="22"/>
        </w:rPr>
        <w:t xml:space="preserve"> Директор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В.Селин</w:t>
      </w:r>
    </w:p>
    <w:p>
      <w:r>
        <w:rPr>
          <w:rFonts w:ascii="Calibri" w:hAnsi="Calibri" w:cs="Calibri"/>
          <w:sz w:val="22"/>
          <w:szCs w:val="22"/>
        </w:rPr>
        <w:t xml:space="preserve"> 19 апреля 2017 г.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№ п/п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Наименование оборудования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Технические и (или) функциональные характеристики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Вид работ и (или) услуг</w:t>
            </w:r>
            <w:hyperlink r:id="rId11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b/>
                  <w:u w:val="single"/>
                </w:rPr>
                <w:t xml:space="preserve">1)</w:t>
              </w:r>
            </w:hyperlink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Генераторы шумовых сигналов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Вид шумового сигнала: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«белый шум» (с нормальным распределением плотности вероятности мгновенных значений);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хаотическая импульсная последовательность.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частот 175…5600 Гц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Низкочастотные генераторы сигналов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Выходное напряжение не менее 5 В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Усилители мощности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Выходная мощность не менее 10 Вт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Акустические излучатели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воспроизводимых частот 175 … 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Уровень звукового давления на расстоянии 1 м от излучателя в свободном поле не менее 95 дБ. Неравномерность АЧХ не более 6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5.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Измерители шума и вибраций (шумомеры)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Пределы измерения уровней сигналов 25…120 дБ.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Класс точности не ниже 2-го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Селективные микровольтметры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15%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г.1,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7.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приемники (анализаторы спектра)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9 кГц…1000 МГц.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2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г.1,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Селективные нановольтметры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15%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микрофоны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Чувствительность не хуже 10 мВ/Па.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Неравномерность АЧХ 1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антенны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частот: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 магнитной составляющей 9 кГц … 30 МГц;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 электрической составляющей 9 кГц … 1000 МГц.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Погрешность измерения не более 2 дБ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Вибродатчики (акселерометры)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Чувствительность не хуже 1 мВ/мс-1.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Неравномерность АЧХ не более 10%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Измерительные пробники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9 кГц…300 МГц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Полосовые октавные фильтры со среднегеометрическими частотами 250, 500, 1000, 2000, 4000 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частот 175…5600 Гц.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Номинальное ослабление в полосе пропускания фильтра 0 дБ.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Класс точности 1-й или 2-й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АЧХ в соответствии с ГОСТ 17168-82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а.3, а.4, г.2, г.3,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Осциллографы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Диапазон измеряемых параметров 0…5 МГц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15</w:t>
            </w:r>
            <w:hyperlink r:id="rId12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2)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Оптические тестеры (измерители мощности)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Длина волны калибровки, нм 850, 1310, 1550.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измерений оптической мощности дБ, от 3 до минус 10 - минус 73.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Разрешающая способность, дБ -0,1…0,001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г.2,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16</w:t>
            </w:r>
            <w:hyperlink r:id="rId13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3)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Рефлектометры (микрорефлектометры)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Длина волны калибровки, нм 850, 1310, 1550.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Диапазон измерений оптической мощности дБ, от 3 до минус 26 - минус 65.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Разрешение по затуханию, дБ - 0,001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а.1, а.2, г.1, г.2, е.1, е.2, е.3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17</w:t>
            </w:r>
            <w:hyperlink r:id="rId14" w:history="1">
              <w:r>
                <w:rPr>
                  <w:rFonts w:ascii="Calibri" w:hAnsi="Calibri" w:cs="Calibri"/>
                  <w:color w:val="0000FF"/>
                  <w:sz w:val="12"/>
                  <w:szCs w:val="12"/>
                  <w:u w:val="single"/>
                </w:rPr>
                <w:t xml:space="preserve">4)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автоматизированного проектирования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Автоматизация проектирования объектов информатизации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формирования и контроля полномочий доступа в информационных (автоматизированных) системах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 контроль полномочий доступа для автономных автоматизированных рабочих мест и сетей, серверов, работающих с тонкими клиентами, и компьютеров, функционирующих в распределенных сетях.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19.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поиска остаточной информации на машинных носителях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Поиск остаточной информации на машинных носителях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контроля подключения устройств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Сбор информации о подключении съемных машинных носителей информации и других устройств к средствам вычислительной техники.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Программные средства контроля целостности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Расчет уникальных значений контрольных сумм. Документирование результатов расчета контрольных сумм.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(системы) контроля (анализа) защищенности информационных систем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Автоматизированная инвентаризация ресурсов информационных систем (сбор информации об узлах информационных систем и об используемом в них программном обеспечении), выявление уязвимостей (кода, конфигурации и архитектуры) в них, анализ и управление выявленными уязвимостями с учетом угроз.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б, в, г.1, д.1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Замкнутые среды предварительного выполнения программ («песочницы»)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Среды безопасного выполнения программ в целях анализа их влияния на безопасность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сред. В случае невозможности оформления формуляров разработчиками (производителями) данных сред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информацией об угрозах безопасности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Автоматизированный сбор и анализ информации, поступающей из различных источников, об угрозах безопасности информации.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средств. В случае невозможности оформления формуляров разработчиками (производителями) данных средств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25.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событиями безопасности информации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Автоматизированный сбор, анализ и корреляция данных о событиях безопасности информации, регистрируемых компонентами информационных систем, идентификация по заданным индикаторам типовых инцидентов информационной безопасности и их локализация.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управления инцидентами информационной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Автоматизированная регистрация информации об инцидентах информационной безопасности информационных систем, предоставление рекомендаций по реагированию на них, формирование и модификация шаблонов инцидентов информационной безопасности, в том числе рекомендаций по реагированию на них.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формуляры, оформленные разработчиками (производителями) данных средств. В случае невозможности оформления формуляров разработчиками (производителями) данных средств (свободнораспространяемое программное обеспечение) формуляры оформляются лицензиатами (соискателями лицензии)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27.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 защиты каналов передачи данных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Должны обеспечивать конфиденциальность и целостность данных, передаваемых по каналам связи между информационной системой, используемой для управления информационной безопасностью, и информационными системами, в отношении которых осуществляется мониторинг.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Должны иметь сертификаты соответствия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Системы защиты информации информационных систем, используемых для мониторинга информационной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Системы защиты информации информационных систем, используемых для оказания услуг по мониторингу информационной безопасности информационных систем, должны соответствовать Требованиям о защите информации, не составляющей государственную тайну, содержащейся в государственных информационных системах, утвержденным приказом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ФСТЭК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от 11 февраля 2013 г. № 17, применительно к первому классу защищенности государственных информационных систем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Перечень работ и услуг, установленных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03.02.2012 № 79:</w:t>
      </w:r>
    </w:p>
    <w:p>
      <w:r>
        <w:rPr>
          <w:rFonts w:ascii="Calibri" w:hAnsi="Calibri" w:cs="Calibri"/>
          <w:sz w:val="22"/>
          <w:szCs w:val="22"/>
        </w:rPr>
        <w:t xml:space="preserve"> а) контроль защищенности конфиденциальной информации от утечки по техническим каналам в:</w:t>
      </w:r>
    </w:p>
    <w:p>
      <w:r>
        <w:rPr>
          <w:rFonts w:ascii="Calibri" w:hAnsi="Calibri" w:cs="Calibri"/>
          <w:sz w:val="22"/>
          <w:szCs w:val="22"/>
        </w:rPr>
        <w:t xml:space="preserve"> 1 -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2 - технических средствах (системах), не обрабатывающих конфиденциальную информацию, но размещенных в помещениях, где она обрабатывается;</w:t>
      </w:r>
    </w:p>
    <w:p>
      <w:r>
        <w:rPr>
          <w:rFonts w:ascii="Calibri" w:hAnsi="Calibri" w:cs="Calibri"/>
          <w:sz w:val="22"/>
          <w:szCs w:val="22"/>
        </w:rPr>
        <w:t xml:space="preserve"> 3 - помещениях со средствами (системами),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4 - помещениях, предназначенных для ведения конфиденциальных переговоров (далее - защищаемые помещения);</w:t>
      </w:r>
    </w:p>
    <w:p>
      <w:r>
        <w:rPr>
          <w:rFonts w:ascii="Calibri" w:hAnsi="Calibri" w:cs="Calibri"/>
          <w:sz w:val="22"/>
          <w:szCs w:val="22"/>
        </w:rPr>
        <w:t xml:space="preserve"> б) контроль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в) мониторинг информационной безопасности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г) аттестационные испытания и аттестация на соответствие требованиям по защите информации:</w:t>
      </w:r>
    </w:p>
    <w:p>
      <w:r>
        <w:rPr>
          <w:rFonts w:ascii="Calibri" w:hAnsi="Calibri" w:cs="Calibri"/>
          <w:sz w:val="22"/>
          <w:szCs w:val="22"/>
        </w:rPr>
        <w:t xml:space="preserve"> 1 -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2 - помещений со средствами (системами),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3 -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д) проектирование в защищенном исполнении:</w:t>
      </w:r>
    </w:p>
    <w:p>
      <w:r>
        <w:rPr>
          <w:rFonts w:ascii="Calibri" w:hAnsi="Calibri" w:cs="Calibri"/>
          <w:sz w:val="22"/>
          <w:szCs w:val="22"/>
        </w:rPr>
        <w:t xml:space="preserve"> 1 -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2 - помещений со средствами (системами),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3 -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е) установка, монтаж, испытания, ремонт средств защиты информации:</w:t>
      </w:r>
    </w:p>
    <w:p>
      <w:r>
        <w:rPr>
          <w:rFonts w:ascii="Calibri" w:hAnsi="Calibri" w:cs="Calibri"/>
          <w:sz w:val="22"/>
          <w:szCs w:val="22"/>
        </w:rPr>
        <w:t xml:space="preserve"> 1 - технических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2 - защищенных технических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3 - технических средств контроля эффективности мер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4 - программных (программно-технических)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5 - защищенных программных (программно-технических)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6 - программных (программно-технических) средств контроля защищенности информации).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Средства необходимы при проведении работ (оказании услуг) при применении волоконно-оптических систем передачи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Средства необходимы при проектировании комплексов помещений (зданий, сооружений), а также сложных распределенных объектов защиты.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1" TargetMode="External"/>
  <Relationship Id="rId12" Type="http://schemas.openxmlformats.org/officeDocument/2006/relationships/hyperlink" Target="http://localhost/cron/html2docx/#fn__2" TargetMode="External"/>
  <Relationship Id="rId13" Type="http://schemas.openxmlformats.org/officeDocument/2006/relationships/hyperlink" Target="http://localhost/cron/html2docx/#fn__3" TargetMode="External"/>
  <Relationship Id="rId14" Type="http://schemas.openxmlformats.org/officeDocument/2006/relationships/hyperlink" Target="http://localhost/cron/html2docx/#fn__4" TargetMode="External"/>
  <Relationship Id="rId15" Type="http://schemas.openxmlformats.org/officeDocument/2006/relationships/hyperlink" Target="http://localhost/cron/html2docx/#fnt__1" TargetMode="External"/>
  <Relationship Id="rId16" Type="http://schemas.openxmlformats.org/officeDocument/2006/relationships/hyperlink" Target="http://localhost/cron/html2docx/#fnt__2" TargetMode="External"/>
  <Relationship Id="rId17" Type="http://schemas.openxmlformats.org/officeDocument/2006/relationships/hyperlink" Target="http://localhost/cron/html2docx/#fnt__3" TargetMode="External"/>
  <Relationship Id="rId18" Type="http://schemas.openxmlformats.org/officeDocument/2006/relationships/hyperlink" Target="http://localhost/cron/html2docx/#fnt__4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2018-09-26T20:21:01+03:00</dcterms:created>
  <dcterms:modified xsi:type="dcterms:W3CDTF">2018-09-26T20:21:01+03:00</dcterms:modified>
  <dc:title/>
  <dc:description/>
  <dc:subject/>
  <cp:keywords/>
  <cp:category/>
</cp:coreProperties>
</file>