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О выборе межсетевого экрана для обеспечения защиты информационных систем персональных данных третьего и четвертого уровней защищенности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требованиями ст.19 Федерального закона от 27.07.2006 № 152-ФЗ «О персональных данных» оператору [персональных данных] необходимо использовать организационные меры и технические средства обеспечения безопасности персональных данных. В соответствии с п.13 «Требований к защите персональных данных при их обработке в информационных системах персональных данных» (утв. постановлением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01.11.2012 № 1119) технические средства должны пройти процедуру оценки соответствия требованиям законодательства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в области защиты информации (сертификацию), в случае, когда применение таких средств необходимо для нейтрализации актуальных угроз. Определение актуальных угроз безопасности персональных данных и информационных технологий, используемых в информационных системах персональных данных (далее -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), может осуществляться оператором как самостоятельно, так и с привлечением компании-лицензиата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путем обследования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оператора, а также анализа применяемых в них мерах и средствах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обработке персональных данных 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операторами наиболее часто устанавливаются 3-й и 4-й уровни защищенности персональных данных. Также достаточно распространенным является полное или частичное размещение компонентов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в центре обработки данных (далее - ЦОД), ресурсы которого предоставляются оператору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со стороны владельца ЦОД на основании соответствующего возмездного договора.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нейтрализации актуальных угроз в отношении вышеуказанных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, наряду с иными мерами безопасности, необходимо внедрение межсетевого экрана (далее -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), выполняющего следующие задачи: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контроль доступа (включая фильтрацию и контроль соединений) к серверам ИСПДн, размещенным в помещениях, принадлежащих оператору;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контроль доступа (включая фильтрацию и контроль соединений) к серверам ИСПДн, размещенным в ЦОД;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контроль межсетевого доступа к серверам и другим компонентам ИСПДн (включая автоматизированные рабочие места пользователей, на которых осуществляется обработка персональных данных), размещенным в помещениях, принадлежащих оператору;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контроль доступа к ресурсам сети «Интернет»;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разграничение (контроль) доступа к категориям сетевых ресурсов, размещенным в ЦОД (web-серверы, базы данных, приложения и т.д.).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требованиями п.13 «Состава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(утв.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18.02.2013 № 21), а также принимая во внимание вышеописанный перечень задач, которые должны решаться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, оператор для защиты </w:t>
      </w:r>
    </w:p>
    <w:p>
      <w:r>
        <w:rPr>
          <w:rFonts w:ascii="Calibri" w:hAnsi="Calibri" w:cs="Calibri"/>
          <w:sz w:val="22"/>
          <w:szCs w:val="22"/>
        </w:rPr>
        <w:t xml:space="preserve">ИСПДн</w:t>
      </w:r>
      <w:r>
        <w:rPr>
          <w:rFonts w:ascii="Calibri" w:hAnsi="Calibri" w:cs="Calibri"/>
          <w:sz w:val="22"/>
          <w:szCs w:val="22"/>
        </w:rPr>
        <w:t xml:space="preserve"> 3-го и 4-го уровней защищенности должен использовать сертифицированные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типа «Б» 6-го класса защиты (требования усиливаются от 6-го класса к 1-му), т.е.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, реализующие следующие возможности: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осуществление фильтрации сетевого трафика для отправителей информации, получателей информации и всех операций передачи контролируемой МЭ информации к узлам информационной системы и от них;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обеспечение фильтрации для всех операций перемещения через МЭ информации к узлам информационной системы и от них;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осуществление фильтрации, основанной на следующих типах атрибутов безопасности субъектов: сетевой адрес узла отправителя; сетевой адрес узла получателя; и информации: сетевой протокол, который используется для взаимодействия;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осуществление явного разрешения или запрета информационного потока, базируясь на устанавливаемых администратором МЭ наборе правил фильтрации, основанном на идентифицированных атрибутах;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блокирование всех информационных потоков, проходящие через нефункционирующий или функционирующий некорректно МЭ;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осуществление регистрации и учета выполнения проверок информации сетевого трафика и предоставление указанной информации уполномоченным администраторам;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осуществление идентификации и аутентификации администратора МЭ до разрешения любого действия (по администрированию), выполняемого при посредничестве МЭ от имени этого администратора;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поддерживание определенных ролей по управлению МЭ;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обеспечение перехода в режим аварийной поддержки, который предоставляет возможность возврата МЭ к штатному функционированию.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Перечень общепризнанных производителей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, проведших в отношении своих продуктов процедуру оценки соответствия по требованиям законодательства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в области защиты информации (сертификацию), включает таких производителей как Fortinet, Checkpoint, Cisco. В настоящее время производитель Fortinet завершил сертификацию линейки моделей своих устройств (FortiGate) по требованиям к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по 4-му классу защиты. Производитель CheckPoint собирается сертифицировать ряд актуальных моделей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(предварительный срок сертификации – 2-й квартал 2017). Производитель Cisco также собирается сертифицировать ряд актуальных моделей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(предполагаемый срок сертификации на настоящий момент неизвестен).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всех производителей (Fortinet, CheckPoint и Cisco) полностью соответствуют функциональным требованиям регуляторов (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России). Если анализировать результаты проведения разных независимых тестирований можно сделать вывод, что по критерию качества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вшеуказанных производителей примерно равны. На основании вышеописанного можно констатировать, что ключевыми критериями выбора 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 являются: </w:t>
      </w:r>
    </w:p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пропускная способность с активными функциями FW, IPS и контроля приложений (NGFW);</w:t>
      </w:r>
    </w:p>
    <w:p>
      <w:pPr>
        <w:jc w:val="both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стоимость внедрения и владения;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наличие сертификата соответствия требованиям законодательства РФ в области защиты информации.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2018-09-26T20:25:01+03:00</dcterms:created>
  <dcterms:modified xsi:type="dcterms:W3CDTF">2018-09-26T20:25:01+03:00</dcterms:modified>
  <dc:title/>
  <dc:description/>
  <dc:subject/>
  <cp:keywords/>
  <cp:category/>
</cp:coreProperties>
</file>