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Письмо Банка России от 10.04.2014 № 06-52/2463 "О Кодексе корпоративного 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Банк России информирует акционерные общества, государственные корпорации и компании о том, что 21 марта 2014 года Советом директоров Банка России одобрен Кодекс корпоративного управления (далее - Кодекс). </w:t>
      </w:r>
    </w:p>
    <w:p>
      <w:pPr>
        <w:jc w:val="both"/>
        <w:spacing w:before="5" w:after="5"/>
      </w:pPr>
      <w:r>
        <w:rPr>
          <w:rFonts w:ascii="Calibri" w:hAnsi="Calibri" w:cs="Calibri"/>
          <w:sz w:val="22"/>
          <w:szCs w:val="22"/>
        </w:rPr>
        <w:t xml:space="preserve"> Банк России рекомендует Кодекс к применению акционерными обществами, ценные бумаги которых допущены к организованным торгам. </w:t>
      </w:r>
    </w:p>
    <w:p>
      <w:pPr>
        <w:jc w:val="both"/>
        <w:spacing w:before="5" w:after="5"/>
      </w:pPr>
      <w:r>
        <w:rPr>
          <w:rFonts w:ascii="Calibri" w:hAnsi="Calibri" w:cs="Calibri"/>
          <w:sz w:val="22"/>
          <w:szCs w:val="22"/>
        </w:rPr>
        <w:t xml:space="preserve"> Дополнительно информируем, что проект кодекса корпоративного управления одобрен в основном, имея в виду его рекомендательный характер, на заседании Правительства Российской Федерации 13 февраля 2014 года. </w:t>
      </w:r>
    </w:p>
    <w:p>
      <w:pPr>
        <w:jc w:val="both"/>
        <w:spacing w:before="5" w:after="5"/>
      </w:pPr>
      <w:r>
        <w:rPr>
          <w:rFonts w:ascii="Calibri" w:hAnsi="Calibri" w:cs="Calibri"/>
          <w:sz w:val="22"/>
          <w:szCs w:val="22"/>
        </w:rPr>
        <w:t xml:space="preserve"> Настоящее письмо подлежит официальному опубликованию в «Вестнике Банка России». </w:t>
      </w:r>
    </w:p>
    <w:p>
      <w:pPr>
        <w:jc w:val="both"/>
        <w:spacing w:before="5" w:after="5"/>
      </w:pPr>
      <w:r>
        <w:rPr>
          <w:rFonts w:ascii="Calibri" w:hAnsi="Calibri" w:cs="Calibri"/>
          <w:sz w:val="22"/>
          <w:szCs w:val="22"/>
        </w:rPr>
        <w:t xml:space="preserve"> Первый заместитель</w:t>
      </w:r>
    </w:p>
    <w:p>
      <w:r>
        <w:rPr>
          <w:rFonts w:ascii="Calibri" w:hAnsi="Calibri" w:cs="Calibri"/>
          <w:sz w:val="22"/>
          <w:szCs w:val="22"/>
        </w:rPr>
        <w:t xml:space="preserve"> Председателя Банка России</w:t>
      </w:r>
    </w:p>
    <w:p>
      <w:r>
        <w:rPr>
          <w:rFonts w:ascii="Calibri" w:hAnsi="Calibri" w:cs="Calibri"/>
          <w:sz w:val="22"/>
          <w:szCs w:val="22"/>
        </w:rPr>
        <w:t xml:space="preserve"> С.А.Швецов </w:t>
      </w:r>
    </w:p>
    <w:p>
      <w:pPr>
        <w:jc w:val="center"/>
        <w:spacing w:before="150" w:after="5"/>
      </w:pPr>
      <w:r>
        <w:rPr>
          <w:rFonts w:ascii="Calibri" w:hAnsi="Calibri" w:cs="Calibri"/>
          <w:sz w:val="32"/>
          <w:szCs w:val="32"/>
          <w:b/>
        </w:rPr>
        <w:t xml:space="preserve">Кодекс корпоративного управления</w:t>
      </w:r>
    </w:p>
    <w:p>
      <w:pPr>
        <w:jc w:val="left"/>
        <w:spacing w:before="150" w:after="5"/>
      </w:pPr>
      <w:r>
        <w:rPr>
          <w:rFonts w:ascii="Calibri" w:hAnsi="Calibri" w:cs="Calibri"/>
          <w:sz w:val="28"/>
          <w:szCs w:val="28"/>
          <w:b/>
        </w:rPr>
        <w:t xml:space="preserve">[Извлечение]</w:t>
      </w:r>
    </w:p>
    <w:p>
      <w:pPr>
        <w:jc w:val="both"/>
        <w:spacing w:before="5" w:after="5"/>
      </w:pPr>
      <w:r>
        <w:rPr>
          <w:rFonts w:ascii="Calibri" w:hAnsi="Calibri" w:cs="Calibri"/>
          <w:sz w:val="22"/>
          <w:szCs w:val="22"/>
        </w:rPr>
        <w:t xml:space="preserve"> 145. Важно, чтобы члены совета директоров имели возможность получить всю необходимую информацию, а также запрашивать информацию у общества и оперативно получать ответы на свои запросы. Все члены совета директоров должны в равной степени иметь право доступа к документам общества и подконтрольных ему юридических лиц. </w:t>
      </w:r>
    </w:p>
    <w:p>
      <w:pPr>
        <w:jc w:val="both"/>
        <w:spacing w:before="5" w:after="5"/>
      </w:pPr>
      <w:r>
        <w:rPr>
          <w:rFonts w:ascii="Calibri" w:hAnsi="Calibri" w:cs="Calibri"/>
          <w:sz w:val="22"/>
          <w:szCs w:val="22"/>
        </w:rPr>
        <w:t xml:space="preserve"> Рекомендуется исходить из того, что наличие в затребованных членом совета директоров документах конфиденциальной информации, в том числе составляющей коммерческую тайну, не может препятствовать их предоставлению такому члену совета директоров. Член совета директоров, которому предоставляется указанная информация, обязан сохранять ее конфиденциальность. Соответствующая обязанность должна быть закреплена внутренними документами общества. В подтверждение принятия обязанности по сохранению конфиденциальности информации от члена совета директоров может требоваться выдача соответствующей расписки или определение такой обязанности в договоре с членом совета директоров. </w:t>
      </w:r>
    </w:p>
    <w:p>
      <w:pPr>
        <w:jc w:val="both"/>
        <w:spacing w:before="5" w:after="5"/>
      </w:pPr>
      <w:r>
        <w:rPr>
          <w:rFonts w:ascii="Calibri" w:hAnsi="Calibri" w:cs="Calibri"/>
          <w:sz w:val="22"/>
          <w:szCs w:val="22"/>
        </w:rPr>
        <w:t xml:space="preserve"> 171. Комитет по аудиту создается в целях содействия эффективному выполнению функций совета директоров в части контроля за финансово-хозяйственной деятельностью общества. </w:t>
      </w:r>
    </w:p>
    <w:p>
      <w:pPr>
        <w:jc w:val="both"/>
        <w:spacing w:before="5" w:after="5"/>
      </w:pPr>
      <w:r>
        <w:rPr>
          <w:rFonts w:ascii="Calibri" w:hAnsi="Calibri" w:cs="Calibri"/>
          <w:sz w:val="22"/>
          <w:szCs w:val="22"/>
        </w:rPr>
        <w:t xml:space="preserve"> 172. Основными задачами комитета по аудиту являются:</w:t>
      </w:r>
    </w:p>
    <w:p>
      <w:r>
        <w:rPr>
          <w:rFonts w:ascii="Calibri" w:hAnsi="Calibri" w:cs="Calibri"/>
          <w:sz w:val="22"/>
          <w:szCs w:val="22"/>
        </w:rPr>
        <w:t xml:space="preserve"> […]</w:t>
      </w:r>
    </w:p>
    <w:p>
      <w:r>
        <w:rPr>
          <w:rFonts w:ascii="Calibri" w:hAnsi="Calibri" w:cs="Calibri"/>
          <w:sz w:val="22"/>
          <w:szCs w:val="22"/>
        </w:rPr>
        <w:t xml:space="preserve"> 4) в области противодействия недобросовестным действиям работников общества и третьих лиц</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w:t>
      </w:r>
    </w:p>
    <w:p>
      <w:r>
        <w:rPr>
          <w:rFonts w:ascii="Calibri" w:hAnsi="Calibri" w:cs="Calibri"/>
          <w:sz w:val="22"/>
          <w:szCs w:val="22"/>
        </w:rPr>
        <w:t xml:space="preserve"> […]</w:t>
      </w:r>
    </w:p>
    <w:p>
      <w:r>
        <w:rPr>
          <w:rFonts w:ascii="Calibri" w:hAnsi="Calibri" w:cs="Calibri"/>
          <w:sz w:val="22"/>
          <w:szCs w:val="22"/>
        </w:rPr>
        <w:t xml:space="preserve"> б)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r>
        <w:rPr>
          <w:rFonts w:ascii="Calibri" w:hAnsi="Calibri" w:cs="Calibri"/>
          <w:sz w:val="22"/>
          <w:szCs w:val="22"/>
        </w:rPr>
        <w:t xml:space="preserve"> […]</w:t>
      </w:r>
    </w:p>
    <w:p/>
    <w:p>
      <w:pPr>
        <w:jc w:val="both"/>
        <w:spacing w:before="5" w:after="5"/>
      </w:pPr>
      <w:r>
        <w:rPr>
          <w:rFonts w:ascii="Calibri" w:hAnsi="Calibri" w:cs="Calibri"/>
          <w:sz w:val="22"/>
          <w:szCs w:val="22"/>
        </w:rPr>
        <w:t xml:space="preserve"> 261. В рамках системы управления рисками и внутреннего контроля общества рекомендуется организовать безопасный, конфиденциальный и доступный способ (горячую линию) информирования совета директоров (комитета совета директоров по аудиту) и подразделения внутреннего аудита о фактах нарушений законодательства, внутренних процедур, кодекса этики общества любым его работником и (или) любым членом органа управления или органа контроля за финансово-хозяйственной деятельностью общества. </w:t>
      </w:r>
    </w:p>
    <w:p>
      <w:pPr>
        <w:jc w:val="both"/>
        <w:spacing w:before="5" w:after="5"/>
      </w:pPr>
      <w:r>
        <w:rPr>
          <w:rFonts w:ascii="Calibri" w:hAnsi="Calibri" w:cs="Calibri"/>
          <w:sz w:val="22"/>
          <w:szCs w:val="22"/>
        </w:rPr>
        <w:t xml:space="preserve"> 300. Предоставление обществом информации и документов акционерам рекомендуется осуществлять удобным для акционеров способом и в удобной для них форме, в том числе с использованием электронных носителей информации и современных средств связи (с учетом пожеланий направивших требование о предоставлении документов и информации акционеров к форме их предоставления, подтверждению верности копий документов и способу их доставки). </w:t>
      </w:r>
    </w:p>
    <w:p>
      <w:pPr>
        <w:jc w:val="both"/>
        <w:spacing w:before="5" w:after="5"/>
      </w:pPr>
      <w:r>
        <w:rPr>
          <w:rFonts w:ascii="Calibri" w:hAnsi="Calibri" w:cs="Calibri"/>
          <w:sz w:val="22"/>
          <w:szCs w:val="22"/>
        </w:rPr>
        <w:t xml:space="preserve"> 6.3.2. При предоставлении обществом информации акционерам рекомендуется обеспечивать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 </w:t>
      </w:r>
    </w:p>
    <w:p>
      <w:pPr>
        <w:jc w:val="both"/>
        <w:spacing w:before="5" w:after="5"/>
      </w:pPr>
      <w:r>
        <w:rPr>
          <w:rFonts w:ascii="Calibri" w:hAnsi="Calibri" w:cs="Calibri"/>
          <w:sz w:val="22"/>
          <w:szCs w:val="22"/>
        </w:rPr>
        <w:t xml:space="preserve"> 301. Особенности деятельности общества с большим числом акционеров не исключают наличие в обществе специальных мер, направленных на охрану сведений, не являющихся общедоступными. </w:t>
      </w:r>
    </w:p>
    <w:p>
      <w:pPr>
        <w:jc w:val="both"/>
        <w:spacing w:before="5" w:after="5"/>
      </w:pPr>
      <w:r>
        <w:rPr>
          <w:rFonts w:ascii="Calibri" w:hAnsi="Calibri" w:cs="Calibri"/>
          <w:sz w:val="22"/>
          <w:szCs w:val="22"/>
        </w:rPr>
        <w:t xml:space="preserve"> В целях достижения баланса между интересами конкретных акционеров и интересами самого общества информационная политика общества может предусматривать перечень информации, которая составляет коммерческую или служебную тайну либо относится к иной конфиденциальной информации. Доступ к такой информации может предоставляться при условии, что акционер предупрежден о конфиденциальном характере информации и принимает на себя обязанность по сохранению ее конфиденциальности, а также при соблюдении требований федеральных законов. </w:t>
      </w:r>
    </w:p>
    <w:p>
      <w:pPr>
        <w:jc w:val="both"/>
        <w:spacing w:before="0" w:after="0"/>
      </w:pPr>
      <w:r>
        <w:rPr>
          <w:rFonts w:ascii="Calibri" w:hAnsi="Calibri" w:cs="Calibri"/>
          <w:sz w:val="22"/>
          <w:szCs w:val="22"/>
        </w:rPr>
        <w:t xml:space="preserve"> </w:t>
      </w:r>
      <w:hyperlink r:id="rId8" w:history="1">
        <w:r>
          <w:rPr>
            <w:rFonts w:ascii="Calibri" w:hAnsi="Calibri" w:cs="Calibri"/>
            <w:color w:val="0000FF"/>
            <w:sz w:val="12"/>
            <w:szCs w:val="12"/>
            <w:u w:val="single"/>
          </w:rPr>
          <w:t xml:space="preserve">1)</w:t>
        </w:r>
      </w:hyperlink>
      <w:r>
        <w:rPr>
          <w:rFonts w:ascii="Calibri" w:hAnsi="Calibri" w:cs="Calibri"/>
          <w:sz w:val="22"/>
          <w:szCs w:val="22"/>
        </w:rPr>
        <w:t xml:space="preserve"> Включая халатность, мошенничество, взяточничество и коррупцию, коммерческий подкуп, злоупотребления и различные противоправные действия, которые наносят ущерб обществу.</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t__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2018-09-26T20:30:01+03:00</dcterms:created>
  <dcterms:modified xsi:type="dcterms:W3CDTF">2018-09-26T20:30:01+03:00</dcterms:modified>
  <dc:title/>
  <dc:description/>
  <dc:subject/>
  <cp:keywords/>
  <cp:category/>
</cp:coreProperties>
</file>