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Письмо Банка России от 01.03.2013 № 34-Т "О рекомендациях по повышению уровня безопасности при использовании банкоматов и платежных терминалов"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Банк России направляет рекомендации по повышению уровня безопасности при использовании банкоматов и платежных терминалов (далее - Рекомендации).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Территориальным учреждениям Банка России довести настоящее письмо до сведения кредитных организаций.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Настоящее письмо подлежит опубликованию в «Вестнике Банка России».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Заместитель председателя</w:t>
      </w:r>
    </w:p>
    <w:p>
      <w:r>
        <w:rPr>
          <w:rFonts w:ascii="Calibri" w:hAnsi="Calibri" w:cs="Calibri"/>
          <w:sz w:val="22"/>
          <w:szCs w:val="22"/>
        </w:rPr>
        <w:t xml:space="preserve"> Банка России</w:t>
      </w:r>
    </w:p>
    <w:p>
      <w:r>
        <w:rPr>
          <w:rFonts w:ascii="Calibri" w:hAnsi="Calibri" w:cs="Calibri"/>
          <w:sz w:val="22"/>
          <w:szCs w:val="22"/>
        </w:rPr>
        <w:t xml:space="preserve"> Т.Н. Чугунова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Рекомендации по повышению уровня безопасности при использовании банкоматов и платежных терминалов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Приложение</w:t>
      </w:r>
    </w:p>
    <w:p>
      <w:r>
        <w:rPr>
          <w:rFonts w:ascii="Calibri" w:hAnsi="Calibri" w:cs="Calibri"/>
          <w:sz w:val="22"/>
          <w:szCs w:val="22"/>
        </w:rPr>
        <w:t xml:space="preserve"> к письму Банка России</w:t>
      </w:r>
    </w:p>
    <w:p>
      <w:r>
        <w:rPr>
          <w:rFonts w:ascii="Calibri" w:hAnsi="Calibri" w:cs="Calibri"/>
          <w:sz w:val="22"/>
          <w:szCs w:val="22"/>
        </w:rPr>
        <w:t xml:space="preserve"> от 1 марта 2013 года № 34-Т</w:t>
      </w:r>
    </w:p>
    <w:p>
      <w:r>
        <w:rPr>
          <w:rFonts w:ascii="Calibri" w:hAnsi="Calibri" w:cs="Calibri"/>
          <w:sz w:val="22"/>
          <w:szCs w:val="22"/>
        </w:rPr>
        <w:t xml:space="preserve"> «О рекомендациях по повышению</w:t>
      </w:r>
    </w:p>
    <w:p>
      <w:r>
        <w:rPr>
          <w:rFonts w:ascii="Calibri" w:hAnsi="Calibri" w:cs="Calibri"/>
          <w:sz w:val="22"/>
          <w:szCs w:val="22"/>
        </w:rPr>
        <w:t xml:space="preserve"> уровня безопасности при использовании</w:t>
      </w:r>
    </w:p>
    <w:p>
      <w:r>
        <w:rPr>
          <w:rFonts w:ascii="Calibri" w:hAnsi="Calibri" w:cs="Calibri"/>
          <w:sz w:val="22"/>
          <w:szCs w:val="22"/>
        </w:rPr>
        <w:t xml:space="preserve"> банкоматов и платежных терминалов»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Настоящие рекомендации подготовлены в целях повышения уровня безопасности при использовании банкоматов</w:t>
      </w:r>
      <w:hyperlink r:id="rId7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1)</w:t>
        </w:r>
      </w:hyperlink>
      <w:r>
        <w:rPr>
          <w:rFonts w:ascii="Calibri" w:hAnsi="Calibri" w:cs="Calibri"/>
          <w:sz w:val="22"/>
          <w:szCs w:val="22"/>
        </w:rPr>
        <w:t xml:space="preserve"> и платежных терминалов</w:t>
      </w:r>
      <w:hyperlink r:id="rId8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2)</w:t>
        </w:r>
      </w:hyperlink>
      <w:r>
        <w:rPr>
          <w:rFonts w:ascii="Calibri" w:hAnsi="Calibri" w:cs="Calibri"/>
          <w:sz w:val="22"/>
          <w:szCs w:val="22"/>
        </w:rPr>
        <w:t xml:space="preserve"> (далее - устройства).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Кредитным организациям, в том числе при привлечении специализированных организаций</w:t>
      </w:r>
      <w:hyperlink r:id="rId9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3)</w:t>
        </w:r>
      </w:hyperlink>
      <w:r>
        <w:rPr>
          <w:rFonts w:ascii="Calibri" w:hAnsi="Calibri" w:cs="Calibri"/>
          <w:sz w:val="22"/>
          <w:szCs w:val="22"/>
        </w:rPr>
        <w:t xml:space="preserve">, рекомендуется:</w:t>
      </w:r>
    </w:p>
    <w:p>
      <w:r>
        <w:rPr>
          <w:rFonts w:ascii="Calibri" w:hAnsi="Calibri" w:cs="Calibri"/>
          <w:sz w:val="22"/>
          <w:szCs w:val="22"/>
        </w:rPr>
        <w:t xml:space="preserve"> классифицировать места установки устройств по степени риска подвергнуться попыткам физического взлома, установки скиммингового оборудования и (или) воздействия вредоносного кода, а также совершения несанкционированных операций (далее - атаки);</w:t>
      </w:r>
    </w:p>
    <w:p>
      <w:r>
        <w:rPr>
          <w:rFonts w:ascii="Calibri" w:hAnsi="Calibri" w:cs="Calibri"/>
          <w:sz w:val="22"/>
          <w:szCs w:val="22"/>
        </w:rPr>
        <w:t xml:space="preserve"> пересматривать классификацию мест установки устройств по мере развития технологий, в том числе технологий атак;</w:t>
      </w:r>
    </w:p>
    <w:p>
      <w:r>
        <w:rPr>
          <w:rFonts w:ascii="Calibri" w:hAnsi="Calibri" w:cs="Calibri"/>
          <w:sz w:val="22"/>
          <w:szCs w:val="22"/>
        </w:rPr>
        <w:t xml:space="preserve"> оснащать устройства защитным оборудованием</w:t>
      </w:r>
      <w:hyperlink r:id="rId10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4)</w:t>
        </w:r>
      </w:hyperlink>
      <w:r>
        <w:rPr>
          <w:rFonts w:ascii="Calibri" w:hAnsi="Calibri" w:cs="Calibri"/>
          <w:sz w:val="22"/>
          <w:szCs w:val="22"/>
        </w:rPr>
        <w:t xml:space="preserve"> и специальным программным обеспечением</w:t>
      </w:r>
      <w:hyperlink r:id="rId11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5)</w:t>
        </w:r>
      </w:hyperlink>
      <w:r>
        <w:rPr>
          <w:rFonts w:ascii="Calibri" w:hAnsi="Calibri" w:cs="Calibri"/>
          <w:sz w:val="22"/>
          <w:szCs w:val="22"/>
        </w:rPr>
        <w:t xml:space="preserve">, при этом их тип, комплектацию и функциональные возможности рекомендуется выбирать с учетом классификации места установки (предполагаемой установки) устройства;</w:t>
      </w:r>
    </w:p>
    <w:p>
      <w:r>
        <w:rPr>
          <w:rFonts w:ascii="Calibri" w:hAnsi="Calibri" w:cs="Calibri"/>
          <w:sz w:val="22"/>
          <w:szCs w:val="22"/>
        </w:rPr>
        <w:t xml:space="preserve"> осуществлять на регулярной основе, в зависимости от классификации места установки устройства, контроль внешнего вида устройства, включая его целостности и отсутствия несанкционированного оборудования, а также действий обслуживающих данное устройство организаций</w:t>
      </w:r>
      <w:hyperlink r:id="rId12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6)</w:t>
        </w:r>
      </w:hyperlink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использовать системы удаленного мониторинга состояния устройства, обеспечивающие контроль надлежащего функционирования защитного оборудования и специального программного обеспечения;</w:t>
      </w:r>
    </w:p>
    <w:p>
      <w:r>
        <w:rPr>
          <w:rFonts w:ascii="Calibri" w:hAnsi="Calibri" w:cs="Calibri"/>
          <w:sz w:val="22"/>
          <w:szCs w:val="22"/>
        </w:rPr>
        <w:t xml:space="preserve"> оборудовать устройства системами видеонаблюдения (минимум двумя видеокамерами) со сроком хранения записей видеосъемки не менее 60 календарных дней. Требования к типу и качеству систем видеонаблюдения, хранению информации, а также местам их установки (внутри или вне устройства) должны обеспечивать получение видеоизображения надлежащего качества</w:t>
      </w:r>
      <w:hyperlink r:id="rId13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7)</w:t>
        </w:r>
      </w:hyperlink>
      <w:r>
        <w:rPr>
          <w:rFonts w:ascii="Calibri" w:hAnsi="Calibri" w:cs="Calibri"/>
          <w:sz w:val="22"/>
          <w:szCs w:val="22"/>
        </w:rPr>
        <w:t xml:space="preserve">; обеспечить обнаружение, фиксацию фактов атак и попыток их совершения и информирование о них заинтересованных участников рынка розничных платежных услуг, а также Банка России;</w:t>
      </w:r>
    </w:p>
    <w:p>
      <w:r>
        <w:rPr>
          <w:rFonts w:ascii="Calibri" w:hAnsi="Calibri" w:cs="Calibri"/>
          <w:sz w:val="22"/>
          <w:szCs w:val="22"/>
        </w:rPr>
        <w:t xml:space="preserve"> проводить анализ и устранять выявленные уязвимости</w:t>
      </w:r>
      <w:hyperlink r:id="rId14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8)</w:t>
        </w:r>
      </w:hyperlink>
      <w:r>
        <w:rPr>
          <w:rFonts w:ascii="Calibri" w:hAnsi="Calibri" w:cs="Calibri"/>
          <w:sz w:val="22"/>
          <w:szCs w:val="22"/>
        </w:rPr>
        <w:t xml:space="preserve"> в случаях, когда используемое устройство подверглось атакам или попыткам их совершения;</w:t>
      </w:r>
    </w:p>
    <w:p>
      <w:r>
        <w:rPr>
          <w:rFonts w:ascii="Calibri" w:hAnsi="Calibri" w:cs="Calibri"/>
          <w:sz w:val="22"/>
          <w:szCs w:val="22"/>
        </w:rPr>
        <w:t xml:space="preserve"> совершенствовать применяемые решения и процедуры, направленные на обнаружение, фиксацию, идентификацию и предотвращение атак или попыток их совершения;</w:t>
      </w:r>
    </w:p>
    <w:p>
      <w:r>
        <w:rPr>
          <w:rFonts w:ascii="Calibri" w:hAnsi="Calibri" w:cs="Calibri"/>
          <w:sz w:val="22"/>
          <w:szCs w:val="22"/>
        </w:rPr>
        <w:t xml:space="preserve"> осуществлять сотрудничество с иными кредитными организациями, а также осуществлять на регулярной основе обмен информацией в целях развития и совершенствования безопасности устройств;</w:t>
      </w:r>
    </w:p>
    <w:p>
      <w:r>
        <w:rPr>
          <w:rFonts w:ascii="Calibri" w:hAnsi="Calibri" w:cs="Calibri"/>
          <w:sz w:val="22"/>
          <w:szCs w:val="22"/>
        </w:rPr>
        <w:t xml:space="preserve"> размещать на экране устройства либо в пределах прямой видимости от него предупреждающие сообщения о необходимости соблюдения мер предосторожности при наборе персонального идентификационного номера при использовании устройства</w:t>
      </w:r>
      <w:hyperlink r:id="rId15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9)</w:t>
        </w:r>
      </w:hyperlink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устанавливать устройства в безопасных местах (например, в государственных учреждениях, своих подразделениях, крупных торговых комплексах, гостиницах, аэропортах и тому подобное)</w:t>
      </w:r>
      <w:hyperlink r:id="rId16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10)</w:t>
        </w:r>
      </w:hyperlink>
      <w:r>
        <w:rPr>
          <w:rFonts w:ascii="Calibri" w:hAnsi="Calibri" w:cs="Calibri"/>
          <w:sz w:val="22"/>
          <w:szCs w:val="22"/>
        </w:rPr>
        <w:t xml:space="preserve"> с учетом настоящих Рекомендаций; осуществлять крепление устройства к стене или к полу в помещениях и к фундаменту вне помещений, если это допускает его конструкция;</w:t>
      </w:r>
    </w:p>
    <w:p>
      <w:r>
        <w:rPr>
          <w:rFonts w:ascii="Calibri" w:hAnsi="Calibri" w:cs="Calibri"/>
          <w:sz w:val="22"/>
          <w:szCs w:val="22"/>
        </w:rPr>
        <w:t xml:space="preserve"> устанавливать устройства с антивандальным исполнением корпуса и панелей;</w:t>
      </w:r>
    </w:p>
    <w:p>
      <w:r>
        <w:rPr>
          <w:rFonts w:ascii="Calibri" w:hAnsi="Calibri" w:cs="Calibri"/>
          <w:sz w:val="22"/>
          <w:szCs w:val="22"/>
        </w:rPr>
        <w:t xml:space="preserve"> предусматривать при установке устройства возможность его безопасного использования маломобильными группами населения, людьми с ограниченными возможностями здоровья;</w:t>
      </w:r>
    </w:p>
    <w:p>
      <w:r>
        <w:rPr>
          <w:rFonts w:ascii="Calibri" w:hAnsi="Calibri" w:cs="Calibri"/>
          <w:sz w:val="22"/>
          <w:szCs w:val="22"/>
        </w:rPr>
        <w:t xml:space="preserve"> страховать устройства и (или) наличные денежные средства, находящиеся внутри данных устройств;</w:t>
      </w:r>
    </w:p>
    <w:p>
      <w:r>
        <w:rPr>
          <w:rFonts w:ascii="Calibri" w:hAnsi="Calibri" w:cs="Calibri"/>
          <w:sz w:val="22"/>
          <w:szCs w:val="22"/>
        </w:rPr>
        <w:t xml:space="preserve"> использовать настоящие Рекомендации в случае привлечения банковских платежных агентов (субагентов), использующих устройства. Доводить до их сведения настоящие Рекомендации.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7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1)</w:t>
        </w:r>
      </w:hyperlink>
      <w:r>
        <w:rPr>
          <w:rFonts w:ascii="Calibri" w:hAnsi="Calibri" w:cs="Calibri"/>
          <w:sz w:val="22"/>
          <w:szCs w:val="22"/>
        </w:rPr>
        <w:t xml:space="preserve"> Термин «банкомат» используется в значении, определенном в пункте 1.3 Положения Банка России от 24.12.2004 № 266-П «Об эмиссии банковских карт и об операциях, совершаемых с использованием платежных карт».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8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2)</w:t>
        </w:r>
      </w:hyperlink>
      <w:r>
        <w:rPr>
          <w:rFonts w:ascii="Calibri" w:hAnsi="Calibri" w:cs="Calibri"/>
          <w:sz w:val="22"/>
          <w:szCs w:val="22"/>
        </w:rPr>
        <w:t xml:space="preserve"> Термин «платежный терминал» используется в значении, определенном в статье 1 Федерального закона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9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3)</w:t>
        </w:r>
      </w:hyperlink>
      <w:r>
        <w:rPr>
          <w:rFonts w:ascii="Calibri" w:hAnsi="Calibri" w:cs="Calibri"/>
          <w:sz w:val="22"/>
          <w:szCs w:val="22"/>
        </w:rPr>
        <w:t xml:space="preserve"> В рамках данных Рекомендаций под специализированными организациями следует понимать организации, предоставляющие услуги по обеспечению безопасного использования устройств (например, услуги видеонаблюдения, вневедомственной охраны и тому подобное).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20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4)</w:t>
        </w:r>
      </w:hyperlink>
      <w:r>
        <w:rPr>
          <w:rFonts w:ascii="Calibri" w:hAnsi="Calibri" w:cs="Calibri"/>
          <w:sz w:val="22"/>
          <w:szCs w:val="22"/>
        </w:rPr>
        <w:t xml:space="preserve"> В рамках данных Рекомендаций под защитным оборудованием следует понимать антискимминговое оборудование, охранную сигнализацию и иное оборудование, предназначенное для предотвращения атак.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21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5)</w:t>
        </w:r>
      </w:hyperlink>
      <w:r>
        <w:rPr>
          <w:rFonts w:ascii="Calibri" w:hAnsi="Calibri" w:cs="Calibri"/>
          <w:sz w:val="22"/>
          <w:szCs w:val="22"/>
        </w:rPr>
        <w:t xml:space="preserve"> В рамках данных Рекомендаций под специальным программным обеспечением следует понимать программное обеспечение, предназначенное для предотвращения и выявления атак.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22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6)</w:t>
        </w:r>
      </w:hyperlink>
      <w:r>
        <w:rPr>
          <w:rFonts w:ascii="Calibri" w:hAnsi="Calibri" w:cs="Calibri"/>
          <w:sz w:val="22"/>
          <w:szCs w:val="22"/>
        </w:rPr>
        <w:t xml:space="preserve"> В рамках данных Рекомендаций под обслуживающими организациями следует понимать организации, осуществляющие операции по загрузке (изъятию) наличных денег, наличной иностранной валюты из устройств, а также организации, предоставляющие услуги ремонта и (или) профилактики, включая программное обеспечение, и тому подобное.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23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7)</w:t>
        </w:r>
      </w:hyperlink>
      <w:r>
        <w:rPr>
          <w:rFonts w:ascii="Calibri" w:hAnsi="Calibri" w:cs="Calibri"/>
          <w:sz w:val="22"/>
          <w:szCs w:val="22"/>
        </w:rPr>
        <w:t xml:space="preserve"> В рамках данных Рекомендаций под видеоизображением надлежащего качества следует понимать видеоизображение, которое позволяет использовать его в качестве доказательства.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24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8)</w:t>
        </w:r>
      </w:hyperlink>
      <w:r>
        <w:rPr>
          <w:rFonts w:ascii="Calibri" w:hAnsi="Calibri" w:cs="Calibri"/>
          <w:sz w:val="22"/>
          <w:szCs w:val="22"/>
        </w:rPr>
        <w:t xml:space="preserve"> В рамках данных Рекомендаций под уязвимостями следует понимать слабые места в устройстве, а также защитном оборудовании и специальном программном обеспечении, которые могут привести к нарушению его работы или безопасности.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25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9)</w:t>
        </w:r>
      </w:hyperlink>
      <w:r>
        <w:rPr>
          <w:rFonts w:ascii="Calibri" w:hAnsi="Calibri" w:cs="Calibri"/>
          <w:sz w:val="22"/>
          <w:szCs w:val="22"/>
        </w:rPr>
        <w:t xml:space="preserve"> Пункт 7 раздела «Рекомендации при совершении операций с банковской картой в банкомате» письма Банка России от 02.10.2009 № 120-Т «О мерах безопасного использования банковских карт».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26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10)</w:t>
        </w:r>
      </w:hyperlink>
      <w:r>
        <w:rPr>
          <w:rFonts w:ascii="Calibri" w:hAnsi="Calibri" w:cs="Calibri"/>
          <w:sz w:val="22"/>
          <w:szCs w:val="22"/>
        </w:rPr>
        <w:t xml:space="preserve"> Пункт 1 раздела «Рекомендации при совершении операций с банковской картой в банкомате» письма Банка России от 02.10.2009 № 120-Т «О мерах безопасного использования банковских карт».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localhost/cron/html2docx/#fn__1" TargetMode="External"/>
  <Relationship Id="rId8" Type="http://schemas.openxmlformats.org/officeDocument/2006/relationships/hyperlink" Target="http://localhost/cron/html2docx/#fn__2" TargetMode="External"/>
  <Relationship Id="rId9" Type="http://schemas.openxmlformats.org/officeDocument/2006/relationships/hyperlink" Target="http://localhost/cron/html2docx/#fn__3" TargetMode="External"/>
  <Relationship Id="rId10" Type="http://schemas.openxmlformats.org/officeDocument/2006/relationships/hyperlink" Target="http://localhost/cron/html2docx/#fn__4" TargetMode="External"/>
  <Relationship Id="rId11" Type="http://schemas.openxmlformats.org/officeDocument/2006/relationships/hyperlink" Target="http://localhost/cron/html2docx/#fn__5" TargetMode="External"/>
  <Relationship Id="rId12" Type="http://schemas.openxmlformats.org/officeDocument/2006/relationships/hyperlink" Target="http://localhost/cron/html2docx/#fn__6" TargetMode="External"/>
  <Relationship Id="rId13" Type="http://schemas.openxmlformats.org/officeDocument/2006/relationships/hyperlink" Target="http://localhost/cron/html2docx/#fn__7" TargetMode="External"/>
  <Relationship Id="rId14" Type="http://schemas.openxmlformats.org/officeDocument/2006/relationships/hyperlink" Target="http://localhost/cron/html2docx/#fn__8" TargetMode="External"/>
  <Relationship Id="rId15" Type="http://schemas.openxmlformats.org/officeDocument/2006/relationships/hyperlink" Target="http://localhost/cron/html2docx/#fn__9" TargetMode="External"/>
  <Relationship Id="rId16" Type="http://schemas.openxmlformats.org/officeDocument/2006/relationships/hyperlink" Target="http://localhost/cron/html2docx/#fn__10" TargetMode="External"/>
  <Relationship Id="rId17" Type="http://schemas.openxmlformats.org/officeDocument/2006/relationships/hyperlink" Target="http://localhost/cron/html2docx/#fnt__1" TargetMode="External"/>
  <Relationship Id="rId18" Type="http://schemas.openxmlformats.org/officeDocument/2006/relationships/hyperlink" Target="http://localhost/cron/html2docx/#fnt__2" TargetMode="External"/>
  <Relationship Id="rId19" Type="http://schemas.openxmlformats.org/officeDocument/2006/relationships/hyperlink" Target="http://localhost/cron/html2docx/#fnt__3" TargetMode="External"/>
  <Relationship Id="rId20" Type="http://schemas.openxmlformats.org/officeDocument/2006/relationships/hyperlink" Target="http://localhost/cron/html2docx/#fnt__4" TargetMode="External"/>
  <Relationship Id="rId21" Type="http://schemas.openxmlformats.org/officeDocument/2006/relationships/hyperlink" Target="http://localhost/cron/html2docx/#fnt__5" TargetMode="External"/>
  <Relationship Id="rId22" Type="http://schemas.openxmlformats.org/officeDocument/2006/relationships/hyperlink" Target="http://localhost/cron/html2docx/#fnt__6" TargetMode="External"/>
  <Relationship Id="rId23" Type="http://schemas.openxmlformats.org/officeDocument/2006/relationships/hyperlink" Target="http://localhost/cron/html2docx/#fnt__7" TargetMode="External"/>
  <Relationship Id="rId24" Type="http://schemas.openxmlformats.org/officeDocument/2006/relationships/hyperlink" Target="http://localhost/cron/html2docx/#fnt__8" TargetMode="External"/>
  <Relationship Id="rId25" Type="http://schemas.openxmlformats.org/officeDocument/2006/relationships/hyperlink" Target="http://localhost/cron/html2docx/#fnt__9" TargetMode="External"/>
  <Relationship Id="rId26" Type="http://schemas.openxmlformats.org/officeDocument/2006/relationships/hyperlink" Target="http://localhost/cron/html2docx/#fnt__10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2018-09-26T20:58:01+03:00</dcterms:created>
  <dcterms:modified xsi:type="dcterms:W3CDTF">2018-09-26T20:58:01+03:00</dcterms:modified>
  <dc:title/>
  <dc:description/>
  <dc:subject/>
  <cp:keywords/>
  <cp:category/>
</cp:coreProperties>
</file>