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Письмо Банка России от 24.03.2014 № 49-Т "О рекомендациях по организации применения средств защиты от вредоносного кода при осуществлении банковской деятельности"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связи с участившимися случаями воздействия на программное обеспечение компьютеров, банковских автоматизированных систем и информационно-телекоммуникационных сетей кредитных организаций, осуществляемого с применением вредоносного кода, следствием которого является нарушение их функционирования и финансовые потери кредитных организаций и их клиентов, в целях защиты интересов кредиторов и вкладчиков, а также повышения качества управления в кредитных организациях банковскими рисками (операционным, правовым, стратегическим, риском потери деловой репутации (репутационным риском) и риском ликвидности) Банк России направляет Рекомендации по организации применения средств защиты от вредоносного кода при осуществлении банковской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Территориальным учреждениям Банка России довести настоящее письмо до сведения кредитных организаций.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Настоящее письмо подлежит опубликованию в «Вестнике Банка России».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Первый заместитель</w:t>
      </w:r>
    </w:p>
    <w:p>
      <w:r>
        <w:rPr>
          <w:rFonts w:ascii="Calibri" w:hAnsi="Calibri" w:cs="Calibri"/>
          <w:sz w:val="22"/>
          <w:szCs w:val="22"/>
        </w:rPr>
        <w:t xml:space="preserve"> Председателя Банка России</w:t>
      </w:r>
    </w:p>
    <w:p>
      <w:r>
        <w:rPr>
          <w:rFonts w:ascii="Calibri" w:hAnsi="Calibri" w:cs="Calibri"/>
          <w:sz w:val="22"/>
          <w:szCs w:val="22"/>
        </w:rPr>
        <w:t xml:space="preserve"> А.Ю.Симановский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 ﻿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связи с участившимися случаями воздействия на программное обеспечение компьютеров, банковских автоматизированных систем и информационно-телекоммуникационных сетей кредитных организаций, осуществляемого с применением вредоносного кода, следствием которого является нарушение их функционирования и финансовые потери кредитных организаций и их клиентов, в целях защиты интересов кредиторов и вкладчиков, а также повышения качества управления в кредитных организациях банковскими рисками (операционным, правовым, стратегическим, риском потери деловой репутации (репутационным риском) и риском ликвидности) Банк России направляет Рекомендации по организации применения средств защиты от вредоносного кода при осуществлении банковской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Территориальным учреждениям Банка России довести настоящее письмо до сведения кредитных организаций.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Настоящее письмо подлежит опубликованию в «Вестнике Банка России».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Первый заместитель</w:t>
      </w:r>
    </w:p>
    <w:p>
      <w:r>
        <w:rPr>
          <w:rFonts w:ascii="Calibri" w:hAnsi="Calibri" w:cs="Calibri"/>
          <w:sz w:val="22"/>
          <w:szCs w:val="22"/>
        </w:rPr>
        <w:t xml:space="preserve"> Председателя Банка России</w:t>
      </w:r>
    </w:p>
    <w:p>
      <w:r>
        <w:rPr>
          <w:rFonts w:ascii="Calibri" w:hAnsi="Calibri" w:cs="Calibri"/>
          <w:sz w:val="22"/>
          <w:szCs w:val="22"/>
        </w:rPr>
        <w:t xml:space="preserve"> А.Ю.Симановский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Рекомендации по организации применения средств защиты от вредоносного кода при осуществлении банковской деятельности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</w:t>
      </w:r>
    </w:p>
    <w:p>
      <w:r>
        <w:rPr>
          <w:rFonts w:ascii="Calibri" w:hAnsi="Calibri" w:cs="Calibri"/>
          <w:sz w:val="22"/>
          <w:szCs w:val="22"/>
        </w:rPr>
        <w:t xml:space="preserve"> к письму Банка России</w:t>
      </w:r>
    </w:p>
    <w:p>
      <w:r>
        <w:rPr>
          <w:rFonts w:ascii="Calibri" w:hAnsi="Calibri" w:cs="Calibri"/>
          <w:sz w:val="22"/>
          <w:szCs w:val="22"/>
        </w:rPr>
        <w:t xml:space="preserve"> от 24 марта 2014 г. № 49-Т</w:t>
      </w:r>
    </w:p>
    <w:p>
      <w:r>
        <w:rPr>
          <w:rFonts w:ascii="Calibri" w:hAnsi="Calibri" w:cs="Calibri"/>
          <w:sz w:val="22"/>
          <w:szCs w:val="22"/>
        </w:rPr>
        <w:t xml:space="preserve"> «О рекомендациях по организации</w:t>
      </w:r>
    </w:p>
    <w:p>
      <w:r>
        <w:rPr>
          <w:rFonts w:ascii="Calibri" w:hAnsi="Calibri" w:cs="Calibri"/>
          <w:sz w:val="22"/>
          <w:szCs w:val="22"/>
        </w:rPr>
        <w:t xml:space="preserve"> применения средств защиты</w:t>
      </w:r>
    </w:p>
    <w:p>
      <w:r>
        <w:rPr>
          <w:rFonts w:ascii="Calibri" w:hAnsi="Calibri" w:cs="Calibri"/>
          <w:sz w:val="22"/>
          <w:szCs w:val="22"/>
        </w:rPr>
        <w:t xml:space="preserve"> от вредоносного кода</w:t>
      </w:r>
    </w:p>
    <w:p>
      <w:r>
        <w:rPr>
          <w:rFonts w:ascii="Calibri" w:hAnsi="Calibri" w:cs="Calibri"/>
          <w:sz w:val="22"/>
          <w:szCs w:val="22"/>
        </w:rPr>
        <w:t xml:space="preserve"> при осуществлении</w:t>
      </w:r>
    </w:p>
    <w:p>
      <w:r>
        <w:rPr>
          <w:rFonts w:ascii="Calibri" w:hAnsi="Calibri" w:cs="Calibri"/>
          <w:sz w:val="22"/>
          <w:szCs w:val="22"/>
        </w:rPr>
        <w:t xml:space="preserve"> банковской деятельности»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Раздел 1.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1.1. Настоящие Рекомендации по организации применения средств защиты от вредоносного кода при осуществлении банковской деятельности (далее - Рекомендации) подготовлены в целях противодействия распространению и воздействию вредоносного программного кода, нарушающего функционирование программного обеспечения (далее -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) автоматизированных систем, средств вычислительной техники и телекоммуникационного оборудования кредитных организаций, что может привести к невозможности выполнения кредитной организацией своих обязательств перед клиентами кредитной организации (далее - клиенты), контрагентами и Банком России. Рекомендации могут использоваться кредитными организациями при выборе и использовании организационных мер и технических средств защиты информации, обеспечивающих выполнение требований к обеспечению защиты информации при осуществлении переводов денежных средств, установленных Положением Банка России от 9 июня 2012 № 382-П «Положение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средств», наряду с соответствующими разделами Стандарта Банка России «Обеспечение информационной безопасности организаций банковской системы Российской Федерации. Общие положения» (СТО БР ИББС-1.0-2010).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1.2. В целях настоящих Рекомендаций используются следующие понятия:</w:t>
      </w:r>
    </w:p>
    <w:p>
      <w:r>
        <w:rPr>
          <w:rFonts w:ascii="Calibri" w:hAnsi="Calibri" w:cs="Calibri"/>
          <w:sz w:val="22"/>
          <w:szCs w:val="22"/>
        </w:rPr>
        <w:t xml:space="preserve"> вредоносный код (далее - ВК) - компьютерная программа, предназначенная для внедрения в автоматизированные системы,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, средства вычислительной техники, телекоммуникационное оборудование кредитной организации и ее клиентов - пользователей систем дистанционного банковского обслуживания (далее - ДБО), приводящего к уничтожению, созданию, копированию, блокированию, модификации и (или) передаче информации (в том числе защищаемой в соответствии с пунктом 2.1 Положения № 382-П), а также к созданию условий для такого уничтожения, создания, копирования, блокирования, модификации и (или) передачи;</w:t>
      </w:r>
    </w:p>
    <w:p>
      <w:r>
        <w:rPr>
          <w:rFonts w:ascii="Calibri" w:hAnsi="Calibri" w:cs="Calibri"/>
          <w:sz w:val="22"/>
          <w:szCs w:val="22"/>
        </w:rPr>
        <w:t xml:space="preserve"> автоматизированная система - совокупность функционально взаимосвязанных аппаратно-программных средств (компонентов), реализующих информационные технологии, используемые для осуществления банковской и иной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атака ВК - воздействие ВК на автоматизированные системы,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, средства вычислительной техники, телекоммуникационное оборудование кредитной организации и ее клиентов - пользователей систем ДБО, осуществляемое локально или через информационно-телекоммуникационные сети, в том числе через информационно-телекоммуникационную сеть «Интернет» (далее - сеть Интернет);</w:t>
      </w:r>
    </w:p>
    <w:p>
      <w:r>
        <w:rPr>
          <w:rFonts w:ascii="Calibri" w:hAnsi="Calibri" w:cs="Calibri"/>
          <w:sz w:val="22"/>
          <w:szCs w:val="22"/>
        </w:rPr>
        <w:t xml:space="preserve"> защита от ВК - организованная деятельность по защите автоматизированных систем,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, средств вычислительной техники, телекоммуникационного оборудования кредитной организации и ее клиентов - пользователей систем ДБО от атак ВК и устранению их последствий;</w:t>
      </w:r>
    </w:p>
    <w:p>
      <w:r>
        <w:rPr>
          <w:rFonts w:ascii="Calibri" w:hAnsi="Calibri" w:cs="Calibri"/>
          <w:sz w:val="22"/>
          <w:szCs w:val="22"/>
        </w:rPr>
        <w:t xml:space="preserve"> меры (мероприятия) защиты от ВК - организованные действия, имеющие целью осуществление защиты от ВК;</w:t>
      </w:r>
    </w:p>
    <w:p>
      <w:r>
        <w:rPr>
          <w:rFonts w:ascii="Calibri" w:hAnsi="Calibri" w:cs="Calibri"/>
          <w:sz w:val="22"/>
          <w:szCs w:val="22"/>
        </w:rPr>
        <w:t xml:space="preserve"> средства защиты от ВК - программные, программно-аппаратные средства, используемые для осуществления защиты от ВК;</w:t>
      </w:r>
    </w:p>
    <w:p>
      <w:r>
        <w:rPr>
          <w:rFonts w:ascii="Calibri" w:hAnsi="Calibri" w:cs="Calibri"/>
          <w:sz w:val="22"/>
          <w:szCs w:val="22"/>
        </w:rPr>
        <w:t xml:space="preserve"> защитное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 - специализированное программное обеспечение, используемое для осуществления защиты от ВК;</w:t>
      </w:r>
    </w:p>
    <w:p>
      <w:r>
        <w:rPr>
          <w:rFonts w:ascii="Calibri" w:hAnsi="Calibri" w:cs="Calibri"/>
          <w:sz w:val="22"/>
          <w:szCs w:val="22"/>
        </w:rPr>
        <w:t xml:space="preserve"> контроль на наличие ВК - постоянная, периодическая или эпизодическая проверка автоматизированных систем,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, средств вычислительной техники, телекоммуникационного оборудования кредитной организации с целью выявления ВК;</w:t>
      </w:r>
    </w:p>
    <w:p>
      <w:r>
        <w:rPr>
          <w:rFonts w:ascii="Calibri" w:hAnsi="Calibri" w:cs="Calibri"/>
          <w:sz w:val="22"/>
          <w:szCs w:val="22"/>
        </w:rPr>
        <w:t xml:space="preserve"> база данных ВК - база данных, содержащая образцы известных сигнатур ВК;</w:t>
      </w:r>
    </w:p>
    <w:p>
      <w:r>
        <w:rPr>
          <w:rFonts w:ascii="Calibri" w:hAnsi="Calibri" w:cs="Calibri"/>
          <w:sz w:val="22"/>
          <w:szCs w:val="22"/>
        </w:rPr>
        <w:t xml:space="preserve"> фильтрация ВК - исключение из информационного потока сообщений, которые имеют признаки наличия ВК, или приостановление их обработки (помещение таких сообщений в карантин) с выдачей соответствующего уведомления.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Раздел 2. Организация применения средств защиты от ВК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 Учитывая расширение применения систем ДБО, кредитным организациям рекомендуется обеспечивать надежное и эффективное противодействие атакам ВК, совершенствуемым по способам распространения и воздействия на автоматизированные системы,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, средства вычислительной техники, телекоммуникационное оборудование кредитной организации, на основе организации постоянного применения мер защиты от ВК, включающих нижеперечисленные.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2.1.1. Включение во внутренние документы по вопросам политики обеспечения информационной безопасности</w:t>
      </w:r>
      <w:hyperlink r:id="rId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положений, определяющих состав и содержание мер защиты от ВК средств вычислительной техники и следующих компонентов автоматизированных систем и телекоммуникационного оборудования кредитной организации (далее - объектов защиты):</w:t>
      </w:r>
    </w:p>
    <w:p>
      <w:r>
        <w:rPr>
          <w:rFonts w:ascii="Calibri" w:hAnsi="Calibri" w:cs="Calibri"/>
          <w:sz w:val="22"/>
          <w:szCs w:val="22"/>
        </w:rPr>
        <w:t xml:space="preserve"> автоматизированных рабочих мест (далее -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) системных и (или) сетевых администраторов, администраторов баз данных, администраторов информационной безопасности и тому подобное;</w:t>
      </w:r>
    </w:p>
    <w:p>
      <w:r>
        <w:rPr>
          <w:rFonts w:ascii="Calibri" w:hAnsi="Calibri" w:cs="Calibri"/>
          <w:sz w:val="22"/>
          <w:szCs w:val="22"/>
        </w:rPr>
        <w:t xml:space="preserve"> рабочих станций;</w:t>
      </w:r>
    </w:p>
    <w:p>
      <w:r>
        <w:rPr>
          <w:rFonts w:ascii="Calibri" w:hAnsi="Calibri" w:cs="Calibri"/>
          <w:sz w:val="22"/>
          <w:szCs w:val="22"/>
        </w:rPr>
        <w:t xml:space="preserve"> серверов, предназначенных для хранения информационных файлов (файловых серверов) и централизованного доступа к ним;</w:t>
      </w:r>
    </w:p>
    <w:p>
      <w:r>
        <w:rPr>
          <w:rFonts w:ascii="Calibri" w:hAnsi="Calibri" w:cs="Calibri"/>
          <w:sz w:val="22"/>
          <w:szCs w:val="22"/>
        </w:rPr>
        <w:t xml:space="preserve"> серверов баз данных;</w:t>
      </w:r>
    </w:p>
    <w:p>
      <w:r>
        <w:rPr>
          <w:rFonts w:ascii="Calibri" w:hAnsi="Calibri" w:cs="Calibri"/>
          <w:sz w:val="22"/>
          <w:szCs w:val="22"/>
        </w:rPr>
        <w:t xml:space="preserve"> серверов приложений;</w:t>
      </w:r>
    </w:p>
    <w:p>
      <w:r>
        <w:rPr>
          <w:rFonts w:ascii="Calibri" w:hAnsi="Calibri" w:cs="Calibri"/>
          <w:sz w:val="22"/>
          <w:szCs w:val="22"/>
        </w:rPr>
        <w:t xml:space="preserve"> почтовых серверов;</w:t>
      </w:r>
    </w:p>
    <w:p>
      <w:r>
        <w:rPr>
          <w:rFonts w:ascii="Calibri" w:hAnsi="Calibri" w:cs="Calibri"/>
          <w:sz w:val="22"/>
          <w:szCs w:val="22"/>
        </w:rPr>
        <w:t xml:space="preserve"> маршрутизаторов;</w:t>
      </w:r>
    </w:p>
    <w:p>
      <w:r>
        <w:rPr>
          <w:rFonts w:ascii="Calibri" w:hAnsi="Calibri" w:cs="Calibri"/>
          <w:sz w:val="22"/>
          <w:szCs w:val="22"/>
        </w:rPr>
        <w:t xml:space="preserve"> межсетевых экранов;</w:t>
      </w:r>
    </w:p>
    <w:p>
      <w:r>
        <w:rPr>
          <w:rFonts w:ascii="Calibri" w:hAnsi="Calibri" w:cs="Calibri"/>
          <w:sz w:val="22"/>
          <w:szCs w:val="22"/>
        </w:rPr>
        <w:t xml:space="preserve"> серверов, обеспечивающих представительство кредитной организации в сети Интернет (Web-, </w:t>
      </w:r>
    </w:p>
    <w:p>
      <w:r>
        <w:rPr>
          <w:rFonts w:ascii="Calibri" w:hAnsi="Calibri" w:cs="Calibri"/>
          <w:sz w:val="22"/>
          <w:szCs w:val="22"/>
        </w:rPr>
        <w:t xml:space="preserve">FTP</w:t>
      </w:r>
      <w:r>
        <w:rPr>
          <w:rFonts w:ascii="Calibri" w:hAnsi="Calibri" w:cs="Calibri"/>
          <w:sz w:val="22"/>
          <w:szCs w:val="22"/>
        </w:rPr>
        <w:t xml:space="preserve">-, proxy-серверов, серверов доменных имен (D№S) и тому подобное);</w:t>
      </w:r>
    </w:p>
    <w:p>
      <w:r>
        <w:rPr>
          <w:rFonts w:ascii="Calibri" w:hAnsi="Calibri" w:cs="Calibri"/>
          <w:sz w:val="22"/>
          <w:szCs w:val="22"/>
        </w:rPr>
        <w:t xml:space="preserve"> банкоматов, платежных терминалов и тому подобное.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2.1.2. Закрепление функций по осуществлению защиты от ВК, а также по контролю над ее состоянием в положениях о структурных подразделениях кредитной организации, к компетенции которых отнесены: применение информационных технологий, обеспечение информационной безопасности и внутренний контроль, а также в должностных инструкциях работников кредитной организации, осуществляющих данные функции, и всех работников, имеющих доступ к компьютерам и объектам защиты.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2.1.3. Регулярное проведение обучающих мероприятий и контроля знаний работников кредитной организации по тематике защиты от ВК.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2.1.4. Регламентация и контроль выполнения порядка доведения до органов управления кредитной организации результатов осуществления мер защиты от ВК, сведений о предотвращенных и (или) состоявшихся атаках ВК, а также об их последствиях.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2.1.5. Регулярный сбор и анализ информации о распространении ВК с целью своевременной разработки и принятия необходимых мер защиты от ВК, в том числе рекомендуемых компаниями - разработчиками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2.1.6. Регламентация и контроль выполнения мер защиты от ВК в части обезвреживания выявленного ВК и устранения последствий его воздействия на деятельность кредитной организации.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2.1.7. Организация функционирования постоянной защиты от ВК в автоматическом режиме и использование средств централизованного контроля и управления средствами антивирусной защиты.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2.1.8. Сочетание дистанционного (осуществляемого централизованно через информационно-телекоммуникационные сети кредитной организации со специально организованного управляющего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) и локального контроля ВК (осуществляемого непосредственно на серверах различного назначения, рабочих станциях и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 администраторов банковских автоматизированных систем, информационной безопасности, баз данных, информационно-телекоммуникационных сетей кредитной организации, систем ДБО и тому подобное).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2.1.9. Организация функционирования рабочих станций автоматизированных систем с наделением пользователей этих рабочих станций минимально необходимыми для выполнения их функций правами и исключением их учетных записей из группы локальных администраторов.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2.1.10. Использование средств защиты от ВК различных организаций-производителей или поставщиков и их раздельная установка на следующих группах средств вычислительной техники и объектов защиты:</w:t>
      </w:r>
    </w:p>
    <w:p>
      <w:r>
        <w:rPr>
          <w:rFonts w:ascii="Calibri" w:hAnsi="Calibri" w:cs="Calibri"/>
          <w:sz w:val="22"/>
          <w:szCs w:val="22"/>
        </w:rPr>
        <w:t xml:space="preserve"> - рабочие станции;</w:t>
      </w:r>
    </w:p>
    <w:p>
      <w:r>
        <w:rPr>
          <w:rFonts w:ascii="Calibri" w:hAnsi="Calibri" w:cs="Calibri"/>
          <w:sz w:val="22"/>
          <w:szCs w:val="22"/>
        </w:rPr>
        <w:t xml:space="preserve"> - серверы;</w:t>
      </w:r>
    </w:p>
    <w:p>
      <w:r>
        <w:rPr>
          <w:rFonts w:ascii="Calibri" w:hAnsi="Calibri" w:cs="Calibri"/>
          <w:sz w:val="22"/>
          <w:szCs w:val="22"/>
        </w:rPr>
        <w:t xml:space="preserve"> - маршрутизаторы и межсетевые экраны.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2.1.11. Проведение испытаний приобретаемых средств защиты от ВК на совместимость со средствами вычислительной техники и объектами защиты, используемыми в кредитной организации, с другими средствами защиты от ВК, согласно разработанным и утвержденным регламентам. По результатам испытаний рекомендуется определять оптимальные настройки средств защиты от ВК для каждого средства вычислительной техники и объекта защиты с учетом особенностей технологии осуществляемого на нем процесса.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2.1.12. Регулярный контроль целостности и работоспособности защитного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 (согласно разработанному и утвержденному регламенту).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2.1.13. Осуществление в автоматическом режиме обновления баз данных ВК средств защиты от ВК по мере их размещения (обновления) разработчиками средств защиты от ВК.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2.1.14. Осуществление фильтрации ВК во всех сообщениях электронной почты кредитной организации (применение защитных почтовых шлюзов).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2.1.15. Применение автоматизированных средств обобщения и анализа информации, фиксируемой в журналах протоколирования работы защитного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2.1.16. Заключение договоров (соглашений) с провайдерами</w:t>
      </w:r>
      <w:hyperlink r:id="rId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доступа к сети Интернет, предусматривающих осуществление ими фильтрации ВК в информационных потоках, поступающих от них в кредитную организацию.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2.1.17. Организация в кредитной организации специальных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, обособленных от информационно-телекоммуникационных сетей, в том числе от сети Интернет, и оснащенных всеми используемыми в кредитной организации средствами защиты от ВК. Рекомендуется использовать указанные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 для проведения дополнительного системно-независимого контроля на наличие ВК носителей информации, встроенных в средства вычислительной техники и в объекты защиты кредитной организации. Системно-независимому контролю на наличие ВК целесообразно подвергать носители информации, в отношении которых есть основания предполагать наличие ВК, не обнаруживаемого средствами защиты от ВК соответствующих средств вычислительной техники и объектов защиты кредитной организации. Также рекомендуется осуществлять системно-независимый контроль на наличие ВК съемных машинных носителей информации перед их использованием на средствах вычислительной техники и объектах защиты кредитной организации. Системно-независимый контроль на наличие ВК осуществляется под управлением операционной системы, загружаемой с носителя информации, заведомо не содержащего ВК.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2.1.18. Осуществление контроля использования съемных носителей информации с использованием организационных мер и специализированных средств, осуществляющих централизованный мониторинг подключаемых устройств, ограничение использования съемных носителей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2.1.19. Регламентация состава и правил использования автоматизированных систем,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, средств вычислительной техники, телекоммуникационного оборудования кредитной организации на всех этапах их создания и эксплуатации в части обеспечения защиты от ВК в интересах выявления в составе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 «посторонних» программных модулей, нерегламентированных процессов в оперативной памяти средств вычислительной техники и признаков некорректного функционирования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, что может свидетельствовать о воздействии ВК.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2.1.20. Регулярный контроль (предпочтительно не реже одного раза в месяц) состава и целостности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 автоматизированных систем, средств вычислительной техники, телекоммуникационного оборудования кредитной организации, а также выполнения правил его использования в части обеспечения защиты от ВК (согласно разработанному и утвержденному регламенту).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2.1.21. Регламентация правил создания, ведения и защиты от несанкционированного доступа резервных копий и архивов баз данных автоматизированных систем, телекоммуникационного оборудования кредитной организации, а также эталонных и рабочих копий системного и прикладного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 автоматизированных систем.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2.1.22. Регулярный контроль (предпочтительно не реже одного раза в год) выполнения правил создания, ведения и защиты от несанкционированного доступа резервных копий и архивов баз данных автоматизированных систем, телекоммуникационного оборудования кредитной организации, а также эталонных и рабочих копий системного и прикладного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 автоматизированных систем.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2.1.23. Разделение информационно-телекоммуникационных сетей кредитной организации на подсети (сегменты) по их функциональному назначению, по степени критичности влияния на выполнение бизнес-процессов и с учетом подверженности воздействию ВК с целью ограничения возможностей его распространения.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2.1.24. Использование средств анализа наличия на средствах вычислительной техники и объектах защиты неустраненных недостатков системного и прикладного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 в части защиты от ВК.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2.1.25. Использование рабочих станций кредитной организации в терминальном режиме (с ограниченными функциональными возможностями) для обеспечения доступа к сети Интернет через специально выделенный сервер, целостность системного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 которого регулярно контролируется согласно разработанному и утвержденному регламенту.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2.1.26. Разработка и тестирование планов по локализации средств вычислительной техники и объектов защиты кредитной организации, подвергшихся воздействию ВК, и последующему восстановлению работоспособности этих средств вычислительной техники и объектов защиты.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2.2. При выборе средств защиты от ВК рекомендуется отдавать предпочтение известным, хорошо зарекомендовавшим себя в течение продолжительного времени компаниям - разработчикам средств защиты от ВК, предлагающим продукты, использующие зарегистрированные товарные знаки, а также удовлетворяющие требованиям, которые рекомендуется изложить во внутреннем документе, подготовленном с участием структурных подразделений кредитной организации, к компетенции которых отнесено применение информационных технологий, обеспечение информационной безопасности, а также внутренний контроль, и утвержденном уполномоченным органом управления. Целесообразно предусматривать приобретение средств защиты от ВК у авторизованных партнеров компаний - разработчиков средств защиты от ВК.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Раздел 3. Функции органов управления кредитной организации в части организации защиты от ВК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 В связи с возрастанием значимости противодействия в банковской деятельности угрозам, обусловленным распространением ВК, ориентированного на автоматизированные системы,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, средства вычислительной техники, телекоммуникационное оборудование кредитных организаций, органам управления кредитной организации целесообразно организовать: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3.1.1. Оценку защищенности от ВК автоматизированных систем,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, средств вычислительной техники, телекоммуникационного оборудования кредитной организации.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3.1.2. Оценку банковских рисков (операционного, правового, стратегического, потери деловой репутации (репутационного риска) и ликвидности), связанных с недостаточной защищенностью от ВК автоматизированных систем,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, средств вычислительной техники, телекоммуникационного оборудования кредитной организации, а также финансовых затрат на хеджирование указанных рисков и на необходимые организационно-технические мероприятия по защите от ВК.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3.1.3. Прогнозирование возможных неблагоприятных изменений ситуации с атаками ВК, вариантов реагирования кредитной организации на эти изменения и, при необходимости, оценку предполагаемых финансовых затрат для обеспечения мер защиты от ВК.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3.1.4. Определение лица, ответственного за организацию защиты от ВК (из числа заместителей единоличного исполнительного органа), а также структурных подразделений, участвующих в осуществлении защиты от ВК, к компетенции которых отнесены применение информационных технологий, обеспечение информационной безопасности и внутренний контроль (целесообразна подготовка плана организации защиты от ВК и возложение обязанностей по ее организации и осуществлению на ответственных лиц).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3.1.5. Определение подотчетности ответственных лиц и структурных подразделений, указанных в подпункте 3.1.4 пункта 3.1 настоящих Рекомендаций.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3.1.6. Определение порядка оперативного информирования органов управления кредитной организации о возможном возрастании угрозы атак ВК лицами, ответственными за осуществление мер защиты от ВК.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3.2. Проведение мероприятий защиты от ВК, указанных в подпунктах 3.1.1 - 3.1.6 пункта 3.1 настоящих Рекомендаций, целесообразно регламентировать соответствующим внутренним документом, утвержденным уполномоченным органом управления кредитной организации.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3.3. Органам управления кредитной организации рекомендуется организовать разработку внутреннего документа, регламентирующего регулярное (предпочтительно не реже одного раза в квартал) рассмотрение результатов осуществления мер защиты от ВК с выработкой необходимых организационных решений, в том числе по корректировке состава и содержания этих мер.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3.4. В целях обеспечения надежности и эффективности защиты от ВК органам управления кредитной организации рекомендуется определить обязанности, подотчетность и подконтрольность работников, ответственных за организацию постоянного применения мер защиты от ВК, предусмотренных подпунктами 2.1.3 - 2.1.26 пункта 2.1 настоящих Рекомендаций.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Раздел 4. Организация договорных отношений с клиентами - пользователями систем ДБО кредитной организации, в части обеспечения защиты от ВК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4.1. При организации защиты от ВК автоматизированных систем,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, средств вычислительной техники, телекоммуникационного оборудования кредитных организаций целесообразно учитывать, что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 клиентов кредитной организации, используемые ими для проведения сеансов ДБО (далее - клиентские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 систем ДБО), могут оказаться наиболее подверженными атакам ВК в силу возможных недостатков организации их защиты от ВК, а также ограниченных возможностей контроля состояния защиты от ВК со стороны кредитной организации.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4.2. Для снижения банковских рисков, которые связаны с недостаточной защитой от ВК клиентских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 систем ДБО (операционного, правового, стратегического, риска потери деловой репутации (репутационного риска) и риска ликвидности), кредитной организации рекомендуется: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4.2.1. Разработать, утвердить уполномоченным органом управления кредитной организации и при необходимости пересматривать требования по организации и осуществлению клиентами - пользователями систем ДБО защиты от ВК клиентских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 систем ДБО</w:t>
      </w:r>
      <w:hyperlink r:id="rId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3)</w:t>
        </w:r>
      </w:hyperlink>
      <w:r>
        <w:rPr>
          <w:rFonts w:ascii="Calibri" w:hAnsi="Calibri" w:cs="Calibri"/>
          <w:sz w:val="22"/>
          <w:szCs w:val="22"/>
        </w:rPr>
        <w:t xml:space="preserve"> (далее - требования по защите от ВК клиентских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 систем ДБО), а также порядок подтверждения выполнения клиентами - пользователями систем ДБО указанных требований по запросу кредитной организации</w:t>
      </w:r>
      <w:hyperlink r:id="rId1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4)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4.2.2. Изложить требования по защите от ВК клиентских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 систем ДБО в договорах (соглашениях), предметом которых является предоставление клиентам услуг ДБО (далее - договоры), а также в эксплуатационной документации на системы ДБО и в памятках, передаваемых клиентам при заключении договоров.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4.2.3. При внесении кредитной организацией изменений в состав и содержание требований по защите от ВК клиентских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 систем ДБО информировать клиентов об этом и вносить соответствующие изменения в ранее заключенные договоры и эксплуатационную документацию на системы ДБО.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4.2.4. При изменении порядка подтверждения выполнения клиентами требований по защите от ВК клиентских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 систем ДБО вносить соответствующие изменения в ранее заключенные договоры.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4.2.5. Предусматривать в договорах положения, в соответствии с которыми кредитная организация не несет ответственность в случаях финансовых потерь, понесенных клиентами в связи с нарушением и (или) ненадлежащим исполнением ими требований по защите от ВК клиентских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 систем ДБО, а также включать в договоры описание процедур разрешения споров, возникающих в связи с компрометацией аутентификационной и идентификационной информации, используемой клиентами для доступа к системам ДБО (логины, пароли, биометрическая информация и тому подобное) и (или) с нарушениями в работе клиентских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 систем ДБО, в том числе являющимися следствием воздействия на клиентские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 ВК.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4.2.6. Организовать консультирование клиентов - пользователей систем ДБО по вопросам защиты от ВК на постоянной основе с использованием телефонной связи, web-сайтов, электронной почты и тому подобное (прежде всего клиентов - пользователей систем ДБО, использующих сеть Интернет).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4.2.7. Организовать информирование клиентов - пользователей систем ДБО кредитной организации о новых разновидностях ВК, угрожающих безопасности клиентских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 систем ДБО, способах защиты от их воздействия и устранения последствий такого воздействия.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4.2.8. Организовать сбор информации о выявленных атаках ВК на системы ДБО и об обстоятельствах их обнаружения, систематизацию и анализ такой информации, ее доведение до сведения органов управления кредитной организации, а также информирование компаний - разработчиков средств защиты от ВК.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4.2.9. Организовать оперативное информирование клиентов - пользователей систем ДБО кредитной организации через каналы связи, отличные от используемых для ДБО (SMS-информирование, электронная почта и тому подобное), о поступлении от этих клиентов в кредитную организацию распоряжений о переводе денежных средств через системы ДБО и получение подтверждений клиентов о подлинности таких распоряжений.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4.3. При организации ДБО клиентов целесообразно организовать подготовку и переподготовку работников кредитной организации, ответственных за работу с клиентами - пользователями систем ДБО кредитной организации, обеспечивающие необходимый уровень знаний указанных работников кредитной организации о требованиях к защите от ВК (в том числе о требованиях по защите от ВК клиентских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 систем ДБО) и об изменениях в указанных требованиях по мере возникновения новых разновидностей ВК. Рекомендуется также оказывать содействие в устранении возможных недостатков в организации защиты от ВК у клиентов - пользователей систем ДБО.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Раздел 5. Организация договорных отношений с провайдерами, обеспечивающими функционирование систем ДБО кредитной организации, в части обеспечения защиты от ВК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5.1. Для снижения банковских рисков, которые зависят от состояния защиты от ВК у провайдеров, обеспечивающих функционирование систем ДБО кредитной организации</w:t>
      </w:r>
      <w:hyperlink r:id="rId1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5)</w:t>
        </w:r>
      </w:hyperlink>
      <w:r>
        <w:rPr>
          <w:rFonts w:ascii="Calibri" w:hAnsi="Calibri" w:cs="Calibri"/>
          <w:sz w:val="22"/>
          <w:szCs w:val="22"/>
        </w:rPr>
        <w:t xml:space="preserve">, рекомендуется включать в состав договоров на обслуживание и соглашения с ними об уровне обслуживания (Service Level Agreement) положения, предусматривающие обязательства этих провайдеров по осуществлению защиты от ВК в их автоматизированных системах и информационно-телекоммуникационных сетях, а также возможности кредитной организации по контролю выполнения этих обязательств.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5.2. Внутренние документы, регламентирующие осуществление кредитной организацией контроля выполнения обязательств по защите от ВК провайдерами, обеспечивающими функционирование систем ДБО кредитной организации и принявшими на себя обязательства по предоставлению кредитной организации возможности осуществления такого контроля, рекомендуется согласовывать с этими провайдерами.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5.3. Для организации и осуществления контроля выполнения обязательств по защите от ВК провайдерами, обеспечивающими функционирование систем ДБО кредитной организации, предусмотренных договорами на обслуживание и Service Level Agreement, органам управления кредитной организации рекомендуется назначить ответственных исполнителей и определить их функциональные обязанности в должностных инструкциях.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5.4. В целях предотвращения распространения на автоматизированные системы,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, средства вычислительной техники, телекоммуникационное оборудования кредитной организации атак ВК, предпринимаемых в отношении провайдеров, обеспечивающих функционирование систем ДБО кредитной организации, рекомендуется предусматривать в договорах с этими провайдерами их обязательства по локализации воздействий ВК и их последствий в пределах автоматизированных систем и информационно-телекоммуникационных сетей провайдеров, а также ответственность за нарушение этих обязательств.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Принимаемые кредитной организацией в соответствии с пунктом 3.8, пунктом 14 приложения 2 к Положению Банка России от 16 декабря 2003 года № 242-П «Об организации внутреннего контроля в кредитных организациях и банковских группах» («Вестник Банка России» от 4 февраля 2004 года № 7).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Понятие «провайдер» используется в значении, определенном в письме Банка России от 31 марта 2008 года № 36-Т «О рекомендациях по организации управления рисками, возникающими при осуществлении кредитными организациями операций с применением систем интернет-банкинга» («Вестник Банка России» от 9 апреля 2008 года № 16).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3)</w:t>
        </w:r>
      </w:hyperlink>
      <w:r>
        <w:rPr>
          <w:rFonts w:ascii="Calibri" w:hAnsi="Calibri" w:cs="Calibri"/>
          <w:sz w:val="22"/>
          <w:szCs w:val="22"/>
        </w:rPr>
        <w:t xml:space="preserve"> Требования по защите от ВК клиентских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 систем ДБО могут касаться вопросов необходимости осуществления контроля на наличие ВК клиентских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 систем ДБО, настройки средств защиты от ВК, периодичности обновления баз данных ВК и других вопросов, относящихся к организации и осуществлению защиты от ВК.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4)</w:t>
        </w:r>
      </w:hyperlink>
      <w:r>
        <w:rPr>
          <w:rFonts w:ascii="Calibri" w:hAnsi="Calibri" w:cs="Calibri"/>
          <w:sz w:val="22"/>
          <w:szCs w:val="22"/>
        </w:rPr>
        <w:t xml:space="preserve"> Порядок подтверждения выполнения клиентами - пользователями систем ДБО требований по защите от ВК клиентских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 систем ДБО по запросу кредитной организации определяется договором. Указанное подтверждение может осуществляться, например, путем запроса и получения подтверждения в интерактивном режиме в ходе сеансов ДБО с использованием специальной экранной формы, содержащей выбираемые клиентами - пользователями систем ДБО варианты текста, подтверждающего (не подтверждающего) выполнение требований по защите от ВК клиентских </w:t>
      </w:r>
    </w:p>
    <w:p>
      <w:r>
        <w:rPr>
          <w:rFonts w:ascii="Calibri" w:hAnsi="Calibri" w:cs="Calibri"/>
          <w:sz w:val="22"/>
          <w:szCs w:val="22"/>
        </w:rPr>
        <w:t xml:space="preserve">АРМ</w:t>
      </w:r>
      <w:r>
        <w:rPr>
          <w:rFonts w:ascii="Calibri" w:hAnsi="Calibri" w:cs="Calibri"/>
          <w:sz w:val="22"/>
          <w:szCs w:val="22"/>
        </w:rPr>
        <w:t xml:space="preserve"> систем ДБО.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5)</w:t>
        </w:r>
      </w:hyperlink>
      <w:r>
        <w:rPr>
          <w:rFonts w:ascii="Calibri" w:hAnsi="Calibri" w:cs="Calibri"/>
          <w:sz w:val="22"/>
          <w:szCs w:val="22"/>
        </w:rPr>
        <w:t xml:space="preserve"> К числу таких рисков относятся операционный, правовой, стратегический, риск потери деловой репутации (репутационный риск) и риск ликвидности ввиду их причинно-следственных связей с возможными аварийными ситуациями у провайдеров.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#fn__1" TargetMode="External"/>
  <Relationship Id="rId8" Type="http://schemas.openxmlformats.org/officeDocument/2006/relationships/hyperlink" Target="http://localhost/cron/html2docx/#fn__2" TargetMode="External"/>
  <Relationship Id="rId9" Type="http://schemas.openxmlformats.org/officeDocument/2006/relationships/hyperlink" Target="http://localhost/cron/html2docx/#fn__3" TargetMode="External"/>
  <Relationship Id="rId10" Type="http://schemas.openxmlformats.org/officeDocument/2006/relationships/hyperlink" Target="http://localhost/cron/html2docx/#fn__4" TargetMode="External"/>
  <Relationship Id="rId11" Type="http://schemas.openxmlformats.org/officeDocument/2006/relationships/hyperlink" Target="http://localhost/cron/html2docx/#fn__5" TargetMode="External"/>
  <Relationship Id="rId12" Type="http://schemas.openxmlformats.org/officeDocument/2006/relationships/hyperlink" Target="http://localhost/cron/html2docx/#fnt__1" TargetMode="External"/>
  <Relationship Id="rId13" Type="http://schemas.openxmlformats.org/officeDocument/2006/relationships/hyperlink" Target="http://localhost/cron/html2docx/#fnt__2" TargetMode="External"/>
  <Relationship Id="rId14" Type="http://schemas.openxmlformats.org/officeDocument/2006/relationships/hyperlink" Target="http://localhost/cron/html2docx/#fnt__3" TargetMode="External"/>
  <Relationship Id="rId15" Type="http://schemas.openxmlformats.org/officeDocument/2006/relationships/hyperlink" Target="http://localhost/cron/html2docx/#fnt__4" TargetMode="External"/>
  <Relationship Id="rId16" Type="http://schemas.openxmlformats.org/officeDocument/2006/relationships/hyperlink" Target="http://localhost/cron/html2docx/#fnt__5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2018-09-26T21:05:01+03:00</dcterms:created>
  <dcterms:modified xsi:type="dcterms:W3CDTF">2018-09-26T21:05:01+03:00</dcterms:modified>
  <dc:title/>
  <dc:description/>
  <dc:subject/>
  <cp:keywords/>
  <cp:category/>
</cp:coreProperties>
</file>