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06.04.2011 № 63-ФЗ "Об электронной подписи"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25 марта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30 марта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01.07.2011 № 169-ФЗ, от 10.07.2012 № 108-ФЗ, от 05.04.2013 № 60-ФЗ, от 02.07.2013 № 171-ФЗ, от 02.07.2013 № 185-ФЗ, от 12.03.2014 № 33-ФЗ, от 28.06.2014 № 184-ФЗ, от 30.12.2015 № 445-ФЗ)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8. Полномочия федеральных органов исполнительной власти в сфере использования электронной подписи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 Федеральный орган исполнительной власти в области обеспечения безопасности: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4)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обязанностей, а также к обеспечению информационной безопасности аккредитованного удостоверяющего центра.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9. Использование простой электронной подписи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2) обязанность лица, создающего и (или) использующего ключ простой электронной подписи, соблюдать его конфиденциальность.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4. Использование простой электронной подписи для подписания электронных документов, содержащих сведения,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10. Обязанности участников электронного взаимодействия при использовании усиленных электронных подписей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использовании усиленных электронных подписей участники электронного взаимодействия обязаны:</w:t>
      </w:r>
    </w:p>
    <w:p>
      <w:r>
        <w:rPr>
          <w:rFonts w:ascii="Calibri" w:hAnsi="Calibri" w:cs="Calibri"/>
          <w:sz w:val="22"/>
          <w:szCs w:val="22"/>
        </w:rPr>
        <w:t xml:space="preserve"> 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>
      <w:r>
        <w:rPr>
          <w:rFonts w:ascii="Calibri" w:hAnsi="Calibri" w:cs="Calibri"/>
          <w:sz w:val="22"/>
          <w:szCs w:val="22"/>
        </w:rPr>
        <w:t xml:space="preserve"> 2)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>
      <w:r>
        <w:rPr>
          <w:rFonts w:ascii="Calibri" w:hAnsi="Calibri" w:cs="Calibri"/>
          <w:sz w:val="22"/>
          <w:szCs w:val="22"/>
        </w:rPr>
        <w:t xml:space="preserve"> 3) не использовать ключ электронной подписи при наличии оснований полагать, что конфиденциальность данного ключа нарушена;</w:t>
      </w:r>
    </w:p>
    <w:p>
      <w:r>
        <w:rPr>
          <w:rFonts w:ascii="Calibri" w:hAnsi="Calibri" w:cs="Calibri"/>
          <w:sz w:val="22"/>
          <w:szCs w:val="22"/>
        </w:rPr>
        <w:t xml:space="preserve"> 4)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имеющие подтверждение соответствия требованиям, установленным в соответствии с настоящим Федеральным законом.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12. Средства электронной подписи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4. Средства электронной подписи, предназначенные для создания электронных подписей в электронных документах, содержащих сведения, составляющие государственную тайну, или предназначенные для использования в информационной системе, содержащей сведения, составляющие государственную тайну,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Федерации. 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13. Удостоверяющий центр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Удостоверяющий центр обязан: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2) обеспечивать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4) обеспечивать конфиденциальность созданных удостоверяющим центром ключей электронных подписей;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16. Аккредитация удостоверяющего центра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3. Аккредитация удостоверяющего центра осуществляется при условии выполнения им следующих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4) наличие в штате удостоверяющего центра не менее двух работников, непосредственно осуществляющих деятельность по созданию и выдаче сертификатов ключей проверки электронных подписей, имеющих высшее профессиональное образование в области информационных технологий или информационной безопасности либо высшее или среднее профессиональное образование с последующим прохождением переподготовки или повышения квалификации по вопросам использования электронной подписи.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3.1. Удостоверяющий центр наряду с указанными в части 3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обязанностей, а также к обеспечению информационной безопасности аккредитованного удостоверяющего центра в случаях, если необходимость соблюдения таких дополнительных требований в определенных отношениях предусмотрена федеральным законом.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17. Квалифицированный сертификат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6. Владелец квалифицированного сертификата обязан:</w:t>
      </w:r>
    </w:p>
    <w:p>
      <w:r>
        <w:rPr>
          <w:rFonts w:ascii="Calibri" w:hAnsi="Calibri" w:cs="Calibri"/>
          <w:sz w:val="22"/>
          <w:szCs w:val="22"/>
        </w:rPr>
        <w:t xml:space="preserve"> 1) не использовать ключ электронной подписи и немедленно обратиться в аккредитованный удостоверяющий центр, выдавший квалифицированный сертификат, для прекращения действия этого сертификата при наличии оснований полагать, что конфиденциальность ключа электронной подписи нарушена;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2018-09-26T21:57:01+03:00</dcterms:created>
  <dcterms:modified xsi:type="dcterms:W3CDTF">2018-09-26T21:57:01+03:00</dcterms:modified>
  <dc:title/>
  <dc:description/>
  <dc:subject/>
  <cp:keywords/>
  <cp:category/>
</cp:coreProperties>
</file>