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12.09.2016 № 240/24/4278 "Об утверждении методических документов, содержащих профили защиты межсетевых экранов"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подпунктом 13.1 пункта 8 Положения о Федеральной службе по техническому и экспортному контролю, утвержденного Указом Президента Российской Федерации от 16 августа 2004 г. № 1085, 12 сентября 2016 г.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утверждены методические документы, содержащие профили защиты межсетевых экранов.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Указанные документы содержат детализацию требований, предъявляемых к функциям безопасности межсетевых экранов, а также взаимосвязи этих требований и предназначены для организаций, осуществляющих в соответствии с законодательством Российской Федерации работы по созданию средств защиты информации, заявителей на осуществление сертификации продукции, а также для испытательных лабораторий и органов по сертификации, выполняющих работы по сертификации средств защиты информации на соответствие обязательным требованиям по безопасности информации при проведении ими работ по сертификации межсетевых экранов на соответствие Требованиям к межсетевым экранам,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9 февраля 2016 г. № 9.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Спецификация профилей защиты межсетевых экранов для каждого типа межсетевого экрана и класса защиты межсетевого экрана приведена в таблице.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emp_table_style"/>
      </w:tblPr>
      <w:tblGrid>
        <w:gridCol w:w="0" w:type="dxa"/>
      </w:tblGrid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Тип средства контроля</w:t>
            </w:r>
          </w:p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 съемных машинных носителей информации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gridSpan w:val="6"/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Класс защиты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  <w:b/>
              </w:rPr>
              <w:t xml:space="preserve"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Межсетевой экран типа «А»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А6.ПЗ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А5.ПЗ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А4.ПЗ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А3.ПЗ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А2.ПЗ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А1.ПЗ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Межсетевой экран типа «Б»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Б6.ПЗ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Б5.ПЗ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Б4.ПЗ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Б3.ПЗ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Б2.ПЗ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Б1.ПЗ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Межсетевой экран типа «В»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В6.ПЗ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В5.ПЗ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В4.ПЗ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В3.ПЗ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В2.ПЗ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В1.ПЗ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Межсетевой экран типа «Г»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Г6.ПЗ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Г5.ПЗ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Г4.ПЗ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Межсетевой экран типа «Д»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Д6.ПЗ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Д5.ПЗ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ИТ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</w:t>
            </w:r>
          </w:p>
          <w:p>
            <w:r>
              <w:rPr>
                <w:rFonts w:ascii="Calibri" w:hAnsi="Calibri" w:cs="Calibri"/>
                <w:sz w:val="22"/>
                <w:szCs w:val="22"/>
              </w:rPr>
              <w:t xml:space="preserve">МЭ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Д4.ПЗ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r>
              <w:rPr>
                <w:rFonts w:ascii="Calibri" w:hAnsi="Calibri" w:cs="Calibri"/>
                <w:sz w:val="22"/>
                <w:szCs w:val="22"/>
              </w:rPr>
              <w:t xml:space="preserve"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Идентификаторы профилей защиты приводятся в формате </w:t>
      </w:r>
    </w:p>
    <w:p>
      <w:r>
        <w:rPr>
          <w:rFonts w:ascii="Calibri" w:hAnsi="Calibri" w:cs="Calibri"/>
          <w:sz w:val="22"/>
          <w:szCs w:val="22"/>
        </w:rPr>
        <w:t xml:space="preserve">ИТ</w:t>
      </w:r>
      <w:r>
        <w:rPr>
          <w:rFonts w:ascii="Calibri" w:hAnsi="Calibri" w:cs="Calibri"/>
          <w:sz w:val="22"/>
          <w:szCs w:val="22"/>
        </w:rPr>
        <w:t xml:space="preserve">.</w:t>
      </w:r>
    </w:p>
    <w:p>
      <w:r>
        <w:rPr>
          <w:rFonts w:ascii="Calibri" w:hAnsi="Calibri" w:cs="Calibri"/>
          <w:sz w:val="22"/>
          <w:szCs w:val="22"/>
        </w:rPr>
        <w:t xml:space="preserve">МЭ</w:t>
      </w:r>
      <w:r>
        <w:rPr>
          <w:rFonts w:ascii="Calibri" w:hAnsi="Calibri" w:cs="Calibri"/>
          <w:sz w:val="22"/>
          <w:szCs w:val="22"/>
        </w:rPr>
        <w:t xml:space="preserve">.«тип»«класс».ПЗ, где обозначение «тип» может принимать значение «А», которое определяет, что межсетевой экран относится к межсетевому экрану типа «А», значение «Б», которое определяет, что межсетевой экран относится к межсетевому экрану типа «Б», значение «В», которое определяет, что межсетевой экран относится к межсетевому экрану типа «В», значение «Г», которое определяет, что межсетевой экран относится к межсетевому экрану типа «Г», значение «Д», которое определяет, что межсетевой экран относится к межсетевому экрану типа «Д», а обозначение «класс» может принимать значения от 1 до 6, соответствующие классу защиты межсетевого экрана.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Обеспечение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методическими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содержащими профили защиты межсетевых экранов 1, 2 и 3 классов защиты, производится в соответствии с Временным порядком обеспечения органов государственной власти Российской Федерации, органов местного самоуправления и организаций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(www.fstec.ru).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Методические документы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содержащие профили защиты межсетевых экранов 4, 5 и 6 классов защиты размещены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www.fstec.ru в разделе «Документы. Сертификация. Специальные нормативные документы».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Заместитель директора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В.Лютиков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2018-09-27T00:30:01+03:00</dcterms:created>
  <dcterms:modified xsi:type="dcterms:W3CDTF">2018-09-27T00:30:01+03:00</dcterms:modified>
  <dc:title/>
  <dc:description/>
  <dc:subject/>
  <cp:keywords/>
  <cp:category/>
</cp:coreProperties>
</file>