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 (утв. Федеральной службой по техническому и экспортному контролю 14 февраля 2008 г.)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Введение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Методика определения актуальных угроз безопасности персональных данных (ПДн) при их обработке в информационных системах персональных данных (ИСПДн) разработана ФСТЭК России на основании Федерального закона от 27 июля 2006 г. N 152-ФЗ "О персональных данных" и "Положения об обеспечении безопасности персональных данных при их обработке в информационных системах персональных данных", утвержденного Постановлением Правительства Российской Федерации от 17 ноября 2007 г. N 781, с учетом действующих нормативных документов ФСТЭК России по защите информации. Методика предназначена для использования при проведении работ по обеспечению безопасности персональных данных при их обработке в следующих автоматизированных информационных системах персональных данных: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государственных или муниципальных ИСПДн;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ИСПДн, создаваемых и (или) эксплуатируемых предприятиями, организациями и учреждениями (далее - организациями) независимо от форм собственности, необходимых для выполнения функций этих организаций в соответствии с их назначением;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ИСПДн, создаваемых и используемых физическими лицами, за исключением случаев, когда последние используют указанные системы исключительно для личных и семейных нужд.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Документ предназначен для специалистов по обеспечению безопасности информации, руководителей организаций и предприятий, организующих и проводящих работы по обработке ПДн в ИСПДн.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Под угрозами безопасности ПДн при их обработке в ИСПДн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со статьей 19 Федерального закона N 152-ФЗ от 27 июля 2006 г. "О персональных данных" ПДн должны быть защищены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Угрозы безопасности ПДн при их обработке в ИСПДн могут быть связаны как с непреднамеренными действиями персонала ИСПДн и(или) потребителей, пользующихся услугами, предоставляемыми ИСПДн в соответствии с ее назначением, так и со специально осуществляемыми неправомерными действиями иностранных государств, криминальных сообществ, отдельных организаций и граждан, а также иными источниками угроз.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Угрозы безопасности ПДн могут быть реализованы за счет утечки ПДн по техническим каналам (технические каналы утечки информации, обрабатываемой в технических средствах ИСПДн, технические каналы перехвата информации при ее передаче по каналам связи, технические каналы утечки акустической (речевой) информации) либо за счет несанкционированного доступа с использованием соответствующего программного обеспечения.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Детальное описание угроз, связанных с утечкой ПДн по техническим каналам, приведено в "Базовой модели угроз безопасности персональных данных при их обработке в информационных системах персональных данных". Выявление технических каналов утечки ПДн осуществляется на основе нормативных и методических документов ФСТЭК России.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Источниками угроз, реализуемых за счет несанкционированного доступа к базам данных с использованием штатного или специально разработанного программного обеспечения, являются субъекты, действия которых нарушают регламентируемые в ИСПДн правила разграничения доступа к информации. Этими субъектами могут быть: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нарушитель;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носитель вредоносной программы;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аппаратная закладка.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Под нарушителем здесь и далее понимается физическое лицо (лица), случайно или преднамеренно совершающее действия, следствием которых является нарушение безопасности ПДн при их обработке техническими средствами в информационных системах. С точки зрения наличия права легального доступа в помещения, в которых размещены аппаратные средства, обеспечивающие доступ к ресурсам ИСПДн, нарушители подразделяются на два типа: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нарушители, не имеющие доступа к ИСПДн, реализующие угрозы из внешних сетей связи общего пользования и (или) сетей международного информационного обмена, - внешние нарушители;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нарушители, имеющие доступ к ИСПДн, включая пользователей ИСПДн, реализующие угрозы непосредственно в ИСПДн, - внутренние нарушители.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ИСПДн, предоставляющих информационные услуги удаленным пользователям, внешними нарушителями могут являться лица, имеющие возможность осуществлять несанкционированный доступ к информации с использованием специальных программных воздействий, алгоритмических или программных закладок через автоматизированные рабочие места, терминальные устройства ИСПДн, подключенные к сетям общего пользования.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Возможности внутреннего нарушителя существенным образом зависят от установленного порядка допуска физических лиц к информационным ресурсам ИСПДн и мер по контролю порядка проведения работ.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Угрозы несанкционированного доступа от внешних нарушителей реализуются с использованием протоколов межсетевого взаимодействия.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Детальное описание угроз, связанных с несанкционированным доступом в ИСПДн персональных данных, приведено в "Базовой модели угроз безопасности персональных данных при их обработке в информационных системах персональных данных".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Выявление угроз НСД к ПДн, реализуемых с применением программных и программно-аппаратных средств, осуществляется на основе экспертного метода, в том числе путем опроса специалистов, персонала ИСПДн, должностных лиц, при этом могут использоваться специальные инструментальные средства (сетевые сканеры) для подтверждения наличия и выявления уязвимостей программного и аппаратного обеспечения ИСПДн. Для проведения опроса составляются специальные опросные листы.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Наличие источника угрозы и уязвимого звена, которое может быть использовано для реализации угрозы, свидетельствует о наличии данной угрозы. Формируя на основе опроса перечень источников угроз ПДн, на основе опроса и сетевого сканирования перечень уязвимых звеньев ИСПДн, а также по данным обследования ИСПДн - перечень технических каналов утечки информации, определяются условия существования в ИСПДн угроз безопасности информации и составляется их полный перечень. На основании этого перечня в соответствии с описанным ниже порядком формируется перечень актуальных угроз безопасности ПДн.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Порядок определения актуальных угроз безопасности персональных данных в информационных системах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Актуальной считается угроза, которая может быть реализована в ИСПДн и представляет опасность для ПДн. Подход к составлению перечня актуальных угроз состоит в следующем.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оценки возможности реализации угрозы применяются два показателя: уровень исходной защищенности ИСПДн и частота (вероятность) реализации рассматриваемой угрозы.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Под уровнем исходной защищенности ИСПДн понимается обобщенный показатель, зависящий от технических и эксплуатационных характеристик ИСПДн, приведенных в таблице 1.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Таблица 1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Показатели исходной защищенности ИСПДн</w:t>
      </w:r>
    </w:p>
    <w:tbl>
      <w:tblPr>
        <w:tblStyle w:val="temp_table_style"/>
      </w:tblPr>
      <w:tblGrid>
        <w:gridCol w:w="0" w:type="dxa"/>
        <w:gridCol w:w="5250" w:type="dxa"/>
        <w:gridCol w:w="1200" w:type="dxa"/>
        <w:gridCol w:w="1200" w:type="dxa"/>
        <w:gridCol w:w="1200" w:type="dxa"/>
      </w:tblGrid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Технические и эксплуатационные характеристики 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3"/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Уровень защищенности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Высокий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Средний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Низкий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1. По территориальному размещению: </w:t>
            </w: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распределенная ИСПДн, которая охватывает несколько областей, краев, округов или государство в целом;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городская ИСПДн, охватывающая не более одного населенного пункта (города, поселка);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корпоративная распределенная ИСПДн, охватывающая многие подразделения одной организации;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локальная (кампусная) ИСПДн, развернутая в пределах нескольких близко расположенных зданий;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локальная ИСПДн, развернутая в пределах одного здания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2. По наличию соединения с сетями общего пользования: </w:t>
            </w: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имеющая многоточечный выход в сеть общего пользования;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имеющая одноточечный выход в сеть общего пользования;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физически отделенная от сети общего пользования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3. По встроенным (легальным) операциям с записями баз персональных данных:</w:t>
            </w: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чтение, поиск;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запись, удаление, сортировка;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модификация, передача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4. По разграничению доступа к персональным данным: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к которой имеют доступ определенные перечнем сотрудники организации, являющейся владельцем ИСПДн, либо субъект ПДн;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к которой имеют доступ все сотрудники организации, являющейся владельцем ИСПДн;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 с открытым доступом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5. По наличию соединений с другими базами ПДн иных ИСПДн: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интегрированная ИСПДн(организация использует несколько баз ПДн ИСПДн, при этом организация не является владельцем всех используемых баз ПДн);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в которой используется одна база ПДн, принадлежащая организации - владельцу данной ИСПДн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6. По уровню обобщения обезличивания) ПДн:</w:t>
            </w:r>
            <w:r>
              <w:rPr>
                <w:rFonts w:ascii="Calibri" w:hAnsi="Calibri" w:cs="Calibri"/>
                <w:sz w:val="22"/>
                <w:szCs w:val="22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в которой предоставляемые пользователю данные являются обезличенными (на уровне организации, отрасли, области, региона и т.д.);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в которой данные обезличиваются только при передаче в другие организации и не обезличены при предоставлении пользователю в организации;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в которой предоставляемые пользователю данные не являются обезличенными (т.е. присутствует информация, позволяющая идентифицировать субъекта ПДн)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  <w:b/>
                <w:i/>
                <w:iCs/>
              </w:rPr>
              <w:t xml:space="preserve">7. По объему ПДн, которые предоставляются сторонним пользователям ИСПДн без предварительной обработки: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предоставляющая всю базу данных с ПДн;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предоставляющая часть ПДн;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25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ИСПДн, не предоставляющая никакой информации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1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1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1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Исходная степень защищенности определяется следующим образом.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ИСПДн имеет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высокий </w:t>
      </w:r>
      <w:r>
        <w:rPr>
          <w:rFonts w:ascii="Calibri" w:hAnsi="Calibri" w:cs="Calibri"/>
          <w:sz w:val="22"/>
          <w:szCs w:val="22"/>
        </w:rPr>
        <w:t xml:space="preserve">уровень исходной защищенности, если не менее 70% характеристик ИСПДн соответствуют уровню "высокий" (суммируются положительные решения по первому столбцу, соответствующему высокому уровню защищенности), а остальные - среднему уровню защищенности (положительные решения по второму столбцу).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ИСПДн имеет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средний </w:t>
      </w:r>
      <w:r>
        <w:rPr>
          <w:rFonts w:ascii="Calibri" w:hAnsi="Calibri" w:cs="Calibri"/>
          <w:sz w:val="22"/>
          <w:szCs w:val="22"/>
        </w:rPr>
        <w:t xml:space="preserve">уровень исходной защищенности, если не выполняются условия по пункту 1 и не менее 70% характеристик ИСПДн соответствуют уровню не ниже "средний" (берется отношение суммы положительные решений по второму столбцу, соответствующему среднему уровню защищенности, к общему количеству решений), а остальные - низкому уровню защищенности.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ИСПДн имеет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низкую</w:t>
      </w:r>
      <w:r>
        <w:rPr>
          <w:rFonts w:ascii="Calibri" w:hAnsi="Calibri" w:cs="Calibri"/>
          <w:sz w:val="22"/>
          <w:szCs w:val="22"/>
        </w:rPr>
        <w:t xml:space="preserve"> степень исходной защищенности, если не выполняются условия по пунктам 1 и 2.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/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составлении перечня актуальных угроз безопасности ПДн каждой степени исходной защищенности ставится в соответствие числовой коэффициент Y</w:t>
      </w:r>
    </w:p>
    <w:p>
      <w:r>
        <w:rPr>
          <w:rFonts w:ascii="Calibri" w:hAnsi="Calibri" w:cs="Calibri"/>
          <w:sz w:val="22"/>
          <w:szCs w:val="22"/>
        </w:rPr>
        <w:t xml:space="preserve">1</w:t>
      </w:r>
      <w:r>
        <w:rPr>
          <w:rFonts w:ascii="Calibri" w:hAnsi="Calibri" w:cs="Calibri"/>
          <w:sz w:val="22"/>
          <w:szCs w:val="22"/>
        </w:rPr>
        <w:t xml:space="preserve">, а именно: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0 - для высокой степени исходной защищенности;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5 - для средней степени исходной защищенности;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10 - для низкой степени исходной защищенности.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Под частотой (вероятностью) реализации угрозы понимается определяемый экспертным путем показатель, характеризующий, насколько вероятным является реализация конкретной угрозы безопасности ПДн для данной ИСПДн в складывающихся условиях обстановки. Вводятся четыре вербальных градации этого показателя: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маловероятно </w:t>
      </w:r>
      <w:r>
        <w:rPr>
          <w:rFonts w:ascii="Calibri" w:hAnsi="Calibri" w:cs="Calibri"/>
          <w:sz w:val="22"/>
          <w:szCs w:val="22"/>
        </w:rPr>
        <w:t xml:space="preserve">- отсутствуют объективные предпосылки для осуществления угрозы (например, угроза хищения носителей информации лицами, не имеющими легального доступа в помещение, где последние хранятся);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низкая вероятность</w:t>
      </w:r>
      <w:r>
        <w:rPr>
          <w:rFonts w:ascii="Calibri" w:hAnsi="Calibri" w:cs="Calibri"/>
          <w:sz w:val="22"/>
          <w:szCs w:val="22"/>
        </w:rPr>
        <w:t xml:space="preserve"> - объективные предпосылки для реализации угрозы существуют, но принятые меры существенно затрудняют ее реализацию (например, использованы соответствующие средства защиты информации);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средняя вероятность</w:t>
      </w:r>
      <w:r>
        <w:rPr>
          <w:rFonts w:ascii="Calibri" w:hAnsi="Calibri" w:cs="Calibri"/>
          <w:sz w:val="22"/>
          <w:szCs w:val="22"/>
        </w:rPr>
        <w:t xml:space="preserve"> - объективные предпосылки для реализации угрозы существуют, но принятые меры обеспечения безопасности ПДн недостаточны;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  <w:i/>
          <w:iCs/>
        </w:rPr>
        <w:t xml:space="preserve">высокая вероятность</w:t>
      </w:r>
      <w:r>
        <w:rPr>
          <w:rFonts w:ascii="Calibri" w:hAnsi="Calibri" w:cs="Calibri"/>
          <w:sz w:val="22"/>
          <w:szCs w:val="22"/>
        </w:rPr>
        <w:t xml:space="preserve"> - объективные предпосылки для реализации угрозы существуют и меры по обеспечению безопасности ПДн не приняты.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составлении перечня актуальных угроз безопасности ПДн каждой градации вероятности возникновения угрозы ставится в соответствие числовой коэффициент Y</w:t>
      </w:r>
    </w:p>
    <w:p>
      <w:r>
        <w:rPr>
          <w:rFonts w:ascii="Calibri" w:hAnsi="Calibri" w:cs="Calibri"/>
          <w:sz w:val="22"/>
          <w:szCs w:val="22"/>
        </w:rPr>
        <w:t xml:space="preserve">2</w:t>
      </w:r>
      <w:r>
        <w:rPr>
          <w:rFonts w:ascii="Calibri" w:hAnsi="Calibri" w:cs="Calibri"/>
          <w:sz w:val="22"/>
          <w:szCs w:val="22"/>
        </w:rPr>
        <w:t xml:space="preserve">, а именно: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0 - для маловероятной угрозы;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2 - для низкой вероятности угрозы;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5 - для средней вероятности угрозы;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10 - для высокой вероятности угрозы.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 учетом изложенного коэффициент реализуемости угрозы Y будет определяться соотношением</w:t>
      </w:r>
    </w:p>
    <w:p>
      <w:pPr>
        <w:jc w:val="center"/>
        <w:spacing w:before="5" w:after="5"/>
      </w:pPr>
      <w:r>
        <w:rPr>
          <w:rFonts w:ascii="Calibri" w:hAnsi="Calibri" w:cs="Calibri"/>
          <w:sz w:val="22"/>
          <w:szCs w:val="22"/>
        </w:rPr>
        <w:t xml:space="preserve">Y = (Y</w:t>
      </w:r>
    </w:p>
    <w:p>
      <w:r>
        <w:rPr>
          <w:rFonts w:ascii="Calibri" w:hAnsi="Calibri" w:cs="Calibri"/>
          <w:sz w:val="22"/>
          <w:szCs w:val="22"/>
        </w:rPr>
        <w:t xml:space="preserve">1</w:t>
      </w:r>
      <w:r>
        <w:rPr>
          <w:rFonts w:ascii="Calibri" w:hAnsi="Calibri" w:cs="Calibri"/>
          <w:sz w:val="22"/>
          <w:szCs w:val="22"/>
        </w:rPr>
        <w:t xml:space="preserve"> + Y</w:t>
      </w:r>
    </w:p>
    <w:p>
      <w:r>
        <w:rPr>
          <w:rFonts w:ascii="Calibri" w:hAnsi="Calibri" w:cs="Calibri"/>
          <w:sz w:val="22"/>
          <w:szCs w:val="22"/>
        </w:rPr>
        <w:t xml:space="preserve">2</w:t>
      </w:r>
      <w:r>
        <w:rPr>
          <w:rFonts w:ascii="Calibri" w:hAnsi="Calibri" w:cs="Calibri"/>
          <w:sz w:val="22"/>
          <w:szCs w:val="22"/>
        </w:rPr>
        <w:t xml:space="preserve"> ) / 20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 значению коэффициента реализуемости угрозы Y формируется вербальная интерпретация реализуемости угрозы следующим образом: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если 0 ≤ Y ≤ 0,3, то возможность реализации угрозы признается низкой;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если 0,3 &lt; Y ≤0,6, то возможность реализации угрозы признается средней;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если 0,6 &lt; Y ≤0,8, то возможность реализации угрозы признается высокой;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если Y &gt; 0,8, то возможность реализации угрозы признается очень высокой.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Далее оценивается опасность каждой угрозы. При оценке опасности на основе опроса экспертов (специалистов в области защиты информации) определяется вербальный показатель опасности для рассматриваемой ИСПДн. Этот показатель имеет три значения: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средняя опасность - если реализация угрозы может привести к негативным последствиям для субъектов персональных данных;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Затем осуществляется выбор из общего (предварительного) перечня угроз безопасности тех, которые относятся к актуальным для данной ИСПДн, в соответствии с правилами, приведенными в таблице 2.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Таблица 2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Правила отнесения угрозы безопасности ПДн к актуальной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3000" w:type="dxa"/>
        <w:gridCol w:w="1500" w:type="dxa"/>
        <w:gridCol w:w="1500" w:type="dxa"/>
        <w:gridCol w:w="1500" w:type="dxa"/>
      </w:tblGrid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Возможность реализации угрозы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3"/>
          </w:tcPr>
          <w:p>
            <w:pPr>
              <w:jc w:val="center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опасности угрозы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низкая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средняя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высокая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Низкая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Средняя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Высокая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30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Очень высокая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 использованием данных о классе ИСПДн и составленного перечня актуальных угроз, на основе "Рекомендаций по обеспечению безопасности персональных данных при их обработке в информационных системах персональных данных" и "Основных мероприятий по организации и техническому обеспечению безопасности персональных данных, обрабатываемых в информационных системах персональных данных" формулируются конкретные организационно-технические требования по защите ИСПДн от утечки информации по техническим каналам, от несанкционированного доступа и осуществляется выбор программных и технических средств защиты информации, которые могут быть использованы при создании и дальнейшей эксплуатации ИСПДн.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urfdoc.temp.su/cron/html2docx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2016-07-27T15:54:01+03:00</dcterms:created>
  <dcterms:modified xsi:type="dcterms:W3CDTF">2016-07-27T15:54:01+03:00</dcterms:modified>
  <dc:title/>
  <dc:description/>
  <dc:subject/>
  <cp:keywords/>
  <cp:category/>
</cp:coreProperties>
</file>